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附件</w:t>
      </w:r>
      <w:bookmarkStart w:id="0" w:name="_GoBack"/>
      <w:bookmarkEnd w:id="0"/>
    </w:p>
    <w:p>
      <w:pPr>
        <w:jc w:val="center"/>
        <w:rPr>
          <w:rFonts w:ascii="方正小标宋_GBK" w:hAnsi="方正小标宋_GBK" w:eastAsia="方正小标宋_GBK" w:cs="Times New Roman"/>
          <w:sz w:val="44"/>
          <w:szCs w:val="44"/>
        </w:rPr>
      </w:pPr>
      <w:r>
        <w:rPr>
          <w:rFonts w:ascii="方正小标宋_GBK" w:hAnsi="方正小标宋_GBK" w:eastAsia="方正小标宋_GBK" w:cs="方正小标宋_GBK"/>
          <w:sz w:val="44"/>
          <w:szCs w:val="44"/>
        </w:rPr>
        <w:t>2021</w:t>
      </w:r>
      <w:r>
        <w:rPr>
          <w:rFonts w:hint="eastAsia" w:ascii="方正小标宋_GBK" w:hAnsi="方正小标宋_GBK" w:eastAsia="方正小标宋_GBK" w:cs="方正小标宋_GBK"/>
          <w:sz w:val="44"/>
          <w:szCs w:val="44"/>
        </w:rPr>
        <w:t>年度德宏州重大行政决策事项目录</w:t>
      </w:r>
    </w:p>
    <w:tbl>
      <w:tblPr>
        <w:tblStyle w:val="5"/>
        <w:tblW w:w="1516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55"/>
        <w:gridCol w:w="1120"/>
        <w:gridCol w:w="990"/>
        <w:gridCol w:w="3690"/>
        <w:gridCol w:w="2580"/>
        <w:gridCol w:w="2355"/>
        <w:gridCol w:w="121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845"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序号</w:t>
            </w:r>
          </w:p>
        </w:tc>
        <w:tc>
          <w:tcPr>
            <w:tcW w:w="1455"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决策事项名称</w:t>
            </w:r>
          </w:p>
        </w:tc>
        <w:tc>
          <w:tcPr>
            <w:tcW w:w="1120"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拟承办部门</w:t>
            </w:r>
          </w:p>
        </w:tc>
        <w:tc>
          <w:tcPr>
            <w:tcW w:w="990"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拟完成时间</w:t>
            </w:r>
          </w:p>
        </w:tc>
        <w:tc>
          <w:tcPr>
            <w:tcW w:w="3690"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决策事项依据</w:t>
            </w:r>
          </w:p>
        </w:tc>
        <w:tc>
          <w:tcPr>
            <w:tcW w:w="2580"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决策事项的必要性和可行性</w:t>
            </w:r>
          </w:p>
        </w:tc>
        <w:tc>
          <w:tcPr>
            <w:tcW w:w="2355"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决策事项的主要内容和解决问题</w:t>
            </w:r>
          </w:p>
        </w:tc>
        <w:tc>
          <w:tcPr>
            <w:tcW w:w="1215"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是否需要听证</w:t>
            </w:r>
          </w:p>
        </w:tc>
        <w:tc>
          <w:tcPr>
            <w:tcW w:w="915" w:type="dxa"/>
            <w:vAlign w:val="center"/>
          </w:tcPr>
          <w:p>
            <w:pPr>
              <w:spacing w:line="300" w:lineRule="exact"/>
              <w:jc w:val="center"/>
              <w:rPr>
                <w:rFonts w:hint="default" w:ascii="Times New Roman" w:hAnsi="Times New Roman" w:eastAsia="方正仿宋_GBK" w:cs="Times New Roman"/>
                <w:b/>
                <w:bCs/>
                <w:color w:val="000000" w:themeColor="text1"/>
                <w:sz w:val="28"/>
                <w:szCs w:val="28"/>
              </w:rPr>
            </w:pPr>
            <w:r>
              <w:rPr>
                <w:rFonts w:hint="default" w:ascii="Times New Roman" w:hAnsi="Times New Roman" w:eastAsia="方正仿宋_GBK" w:cs="Times New Roman"/>
                <w:b/>
                <w:bCs/>
                <w:color w:val="000000" w:themeColor="text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5" w:hRule="atLeast"/>
        </w:trPr>
        <w:tc>
          <w:tcPr>
            <w:tcW w:w="84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1</w:t>
            </w:r>
          </w:p>
        </w:tc>
        <w:tc>
          <w:tcPr>
            <w:tcW w:w="14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各县市国土空间规划</w:t>
            </w:r>
          </w:p>
        </w:tc>
        <w:tc>
          <w:tcPr>
            <w:tcW w:w="112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各县市人民政府</w:t>
            </w:r>
          </w:p>
        </w:tc>
        <w:tc>
          <w:tcPr>
            <w:tcW w:w="9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2021年</w:t>
            </w:r>
          </w:p>
        </w:tc>
        <w:tc>
          <w:tcPr>
            <w:tcW w:w="36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根据《中共中央国务院关于建立国土空间规划体系并监督实施的若干意见》（中发〔2019〕18号）、自然资源部《关于全面开展国土空间规划工作的通知》（自然资发〔2019〕87号）要求，需在2021年底前完成芒市国土空间规划编制工作。</w:t>
            </w:r>
          </w:p>
        </w:tc>
        <w:tc>
          <w:tcPr>
            <w:tcW w:w="258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由地方政府组织编制和实施国土空间规划，构建国土空间开发保护制度，统筹山、水、林、田、湖、草系统治理，推进空间治理体系和治理能力现代化。</w:t>
            </w:r>
          </w:p>
        </w:tc>
        <w:tc>
          <w:tcPr>
            <w:tcW w:w="23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审议各县市国土空间规划</w:t>
            </w:r>
          </w:p>
        </w:tc>
        <w:tc>
          <w:tcPr>
            <w:tcW w:w="121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是</w:t>
            </w:r>
          </w:p>
        </w:tc>
        <w:tc>
          <w:tcPr>
            <w:tcW w:w="915" w:type="dxa"/>
            <w:vAlign w:val="center"/>
          </w:tcPr>
          <w:p>
            <w:pPr>
              <w:spacing w:line="300" w:lineRule="exact"/>
              <w:jc w:val="center"/>
              <w:rPr>
                <w:rFonts w:hint="default" w:ascii="Times New Roman" w:hAnsi="Times New Roman" w:eastAsia="方正仿宋_GBK"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trPr>
        <w:tc>
          <w:tcPr>
            <w:tcW w:w="84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w:t>
            </w:r>
          </w:p>
        </w:tc>
        <w:tc>
          <w:tcPr>
            <w:tcW w:w="14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德宏州州级国土空间规划</w:t>
            </w:r>
          </w:p>
        </w:tc>
        <w:tc>
          <w:tcPr>
            <w:tcW w:w="112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州自然资源和规划局</w:t>
            </w:r>
          </w:p>
        </w:tc>
        <w:tc>
          <w:tcPr>
            <w:tcW w:w="9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2021年</w:t>
            </w:r>
          </w:p>
        </w:tc>
        <w:tc>
          <w:tcPr>
            <w:tcW w:w="36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中共中央国务院关于建立国土空间规划体系并监督实施的若干意见》（中发〔2019〕18号）、自然资源部《关于全面开展国土空间规划工作的通知》（自然资发〔2019〕87号）、自然资源部《自然资源部信息化建设总体方案的通知》和《关于加强国土空间规划监督管理的通知》（自然资办发〔2020〕27号）、《云南省州（市）级国土空间基础信息平台及国土空间规划“一张图”实施监督系统建设指南》等</w:t>
            </w:r>
          </w:p>
        </w:tc>
        <w:tc>
          <w:tcPr>
            <w:tcW w:w="258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国土空间规划是国家空间发展的指南、可持续发展的空间蓝图，建立国土空间规划体系并监督实施，将主体功能区规划、土地利用规划、城乡规划等空间规划融合为统一的国土空间规划，实现“多规合一”。</w:t>
            </w:r>
          </w:p>
        </w:tc>
        <w:tc>
          <w:tcPr>
            <w:tcW w:w="23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审议《德宏州州级国土空间规划》，研究国土空间基础信息平台及国土空间规划“一张图”实施监督系统建设</w:t>
            </w:r>
          </w:p>
        </w:tc>
        <w:tc>
          <w:tcPr>
            <w:tcW w:w="121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是</w:t>
            </w:r>
          </w:p>
        </w:tc>
        <w:tc>
          <w:tcPr>
            <w:tcW w:w="915" w:type="dxa"/>
            <w:vAlign w:val="center"/>
          </w:tcPr>
          <w:p>
            <w:pPr>
              <w:spacing w:line="300" w:lineRule="exact"/>
              <w:jc w:val="center"/>
              <w:rPr>
                <w:rFonts w:hint="default" w:ascii="Times New Roman" w:hAnsi="Times New Roman" w:eastAsia="方正仿宋_GBK"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trPr>
        <w:tc>
          <w:tcPr>
            <w:tcW w:w="84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3</w:t>
            </w:r>
          </w:p>
        </w:tc>
        <w:tc>
          <w:tcPr>
            <w:tcW w:w="14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德宏州行政事业单位国有资产管理办法</w:t>
            </w:r>
          </w:p>
        </w:tc>
        <w:tc>
          <w:tcPr>
            <w:tcW w:w="112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州财政局</w:t>
            </w:r>
          </w:p>
        </w:tc>
        <w:tc>
          <w:tcPr>
            <w:tcW w:w="9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 xml:space="preserve">2021年          </w:t>
            </w:r>
          </w:p>
        </w:tc>
        <w:tc>
          <w:tcPr>
            <w:tcW w:w="36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《云南省行政事业单位国有资产管理办法》(云政办规〔2020〕3号）</w:t>
            </w:r>
          </w:p>
        </w:tc>
        <w:tc>
          <w:tcPr>
            <w:tcW w:w="258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2008年制定的《德宏州州本级行政事业单位国有资产管理暂行办法》，根据工作需要，需重新修订完善。</w:t>
            </w:r>
          </w:p>
        </w:tc>
        <w:tc>
          <w:tcPr>
            <w:tcW w:w="23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修订完善《德宏州行政事业单位国有资产管理办法》，提高国有资产管理水平</w:t>
            </w:r>
          </w:p>
        </w:tc>
        <w:tc>
          <w:tcPr>
            <w:tcW w:w="121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否</w:t>
            </w:r>
          </w:p>
        </w:tc>
        <w:tc>
          <w:tcPr>
            <w:tcW w:w="915" w:type="dxa"/>
            <w:vAlign w:val="center"/>
          </w:tcPr>
          <w:p>
            <w:pPr>
              <w:spacing w:line="300" w:lineRule="exact"/>
              <w:jc w:val="center"/>
              <w:rPr>
                <w:rFonts w:hint="default" w:ascii="Times New Roman" w:hAnsi="Times New Roman" w:eastAsia="方正仿宋_GBK"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trPr>
        <w:tc>
          <w:tcPr>
            <w:tcW w:w="845" w:type="dxa"/>
            <w:vAlign w:val="center"/>
          </w:tcPr>
          <w:p>
            <w:pPr>
              <w:spacing w:line="300" w:lineRule="exact"/>
              <w:jc w:val="center"/>
              <w:rPr>
                <w:rFonts w:hint="eastAsia" w:ascii="Times New Roman" w:hAnsi="Times New Roman" w:eastAsia="方正仿宋_GBK" w:cs="Times New Roman"/>
                <w:color w:val="000000" w:themeColor="text1"/>
                <w:sz w:val="28"/>
                <w:szCs w:val="28"/>
                <w:lang w:eastAsia="zh-CN"/>
              </w:rPr>
            </w:pPr>
            <w:r>
              <w:rPr>
                <w:rFonts w:hint="eastAsia" w:ascii="Times New Roman" w:hAnsi="Times New Roman" w:eastAsia="方正仿宋_GBK" w:cs="Times New Roman"/>
                <w:color w:val="000000" w:themeColor="text1"/>
                <w:sz w:val="28"/>
                <w:szCs w:val="28"/>
                <w:lang w:val="en-US" w:eastAsia="zh-CN"/>
              </w:rPr>
              <w:t>4</w:t>
            </w:r>
          </w:p>
        </w:tc>
        <w:tc>
          <w:tcPr>
            <w:tcW w:w="14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德宏州粮食和物资储备行业发展“十四五”规划</w:t>
            </w:r>
          </w:p>
        </w:tc>
        <w:tc>
          <w:tcPr>
            <w:tcW w:w="112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州发展改革委</w:t>
            </w:r>
          </w:p>
        </w:tc>
        <w:tc>
          <w:tcPr>
            <w:tcW w:w="9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2021年</w:t>
            </w:r>
          </w:p>
        </w:tc>
        <w:tc>
          <w:tcPr>
            <w:tcW w:w="36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《德宏州人民政府办公室关于印发德宏州“十四五”规划编制工作方案的通知》（德政办发〔2019〕33号）</w:t>
            </w:r>
          </w:p>
        </w:tc>
        <w:tc>
          <w:tcPr>
            <w:tcW w:w="258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围绕新形势下习近平总书记保障国家粮食安全系列重要讲话，对全州粮食和物资储备行业提出未来5年的发展规划</w:t>
            </w:r>
          </w:p>
        </w:tc>
        <w:tc>
          <w:tcPr>
            <w:tcW w:w="23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审议《德宏州粮食和物资储备行业发展“十四五”规划》</w:t>
            </w:r>
          </w:p>
        </w:tc>
        <w:tc>
          <w:tcPr>
            <w:tcW w:w="121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是</w:t>
            </w:r>
          </w:p>
        </w:tc>
        <w:tc>
          <w:tcPr>
            <w:tcW w:w="915" w:type="dxa"/>
            <w:vAlign w:val="center"/>
          </w:tcPr>
          <w:p>
            <w:pPr>
              <w:spacing w:line="300" w:lineRule="exact"/>
              <w:jc w:val="center"/>
              <w:rPr>
                <w:rFonts w:hint="default" w:ascii="Times New Roman" w:hAnsi="Times New Roman" w:eastAsia="方正仿宋_GBK"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845" w:type="dxa"/>
            <w:vAlign w:val="center"/>
          </w:tcPr>
          <w:p>
            <w:pPr>
              <w:spacing w:line="300" w:lineRule="exact"/>
              <w:jc w:val="center"/>
              <w:rPr>
                <w:rFonts w:hint="eastAsia" w:ascii="Times New Roman" w:hAnsi="Times New Roman" w:eastAsia="方正仿宋_GBK" w:cs="Times New Roman"/>
                <w:color w:val="000000" w:themeColor="text1"/>
                <w:sz w:val="28"/>
                <w:szCs w:val="28"/>
                <w:lang w:eastAsia="zh-CN"/>
              </w:rPr>
            </w:pPr>
            <w:r>
              <w:rPr>
                <w:rFonts w:hint="eastAsia" w:ascii="Times New Roman" w:hAnsi="Times New Roman" w:eastAsia="方正仿宋_GBK" w:cs="Times New Roman"/>
                <w:color w:val="000000" w:themeColor="text1"/>
                <w:sz w:val="28"/>
                <w:szCs w:val="28"/>
                <w:lang w:val="en-US" w:eastAsia="zh-CN"/>
              </w:rPr>
              <w:t>5</w:t>
            </w:r>
          </w:p>
        </w:tc>
        <w:tc>
          <w:tcPr>
            <w:tcW w:w="14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长江经济带战略环评德宏州“三线一单”</w:t>
            </w:r>
          </w:p>
        </w:tc>
        <w:tc>
          <w:tcPr>
            <w:tcW w:w="112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州生态环境局</w:t>
            </w:r>
          </w:p>
        </w:tc>
        <w:tc>
          <w:tcPr>
            <w:tcW w:w="9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2021年</w:t>
            </w:r>
          </w:p>
        </w:tc>
        <w:tc>
          <w:tcPr>
            <w:tcW w:w="36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长江经济带战略环境评价工作方案》（环办环评〔2017〕83号）、《长江经济带战略环境评价“三线一单”编制工作实施方案》（环办环评函〔2018〕14号）、《云南省人民政府办公厅关于成立云南省长江经济带战略环境评价项目协调小组的通知》（云政办函〔2018〕39号）、《关于印发云南省长江经济带战略环境评价“三线一单”编制工作方案的通知》（云环发〔2018〕20号）</w:t>
            </w:r>
          </w:p>
        </w:tc>
        <w:tc>
          <w:tcPr>
            <w:tcW w:w="258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深入贯彻落实长江经济带战略，理顺经济发展与环境保护关系，落实生态环境空间管控格局，引导德宏州城市发展和产业布局,促进区域环境质量改善和绿色转型发展</w:t>
            </w:r>
          </w:p>
        </w:tc>
        <w:tc>
          <w:tcPr>
            <w:tcW w:w="23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审议《长江经济带战略环评德宏州“三线一单”》，划定生态保护红线，确定环境质量底线、资源利用上线和制定环境准入清单，实现环境管控精细化</w:t>
            </w:r>
          </w:p>
        </w:tc>
        <w:tc>
          <w:tcPr>
            <w:tcW w:w="121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是</w:t>
            </w:r>
          </w:p>
        </w:tc>
        <w:tc>
          <w:tcPr>
            <w:tcW w:w="915" w:type="dxa"/>
            <w:vAlign w:val="center"/>
          </w:tcPr>
          <w:p>
            <w:pPr>
              <w:spacing w:line="300" w:lineRule="exact"/>
              <w:jc w:val="center"/>
              <w:rPr>
                <w:rFonts w:hint="default" w:ascii="Times New Roman" w:hAnsi="Times New Roman" w:eastAsia="方正仿宋_GBK"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trPr>
        <w:tc>
          <w:tcPr>
            <w:tcW w:w="845" w:type="dxa"/>
            <w:vAlign w:val="center"/>
          </w:tcPr>
          <w:p>
            <w:pPr>
              <w:spacing w:line="300" w:lineRule="exact"/>
              <w:jc w:val="center"/>
              <w:rPr>
                <w:rFonts w:hint="eastAsia" w:ascii="Times New Roman" w:hAnsi="Times New Roman" w:eastAsia="方正仿宋_GBK" w:cs="Times New Roman"/>
                <w:color w:val="000000" w:themeColor="text1"/>
                <w:sz w:val="28"/>
                <w:szCs w:val="28"/>
                <w:lang w:eastAsia="zh-CN"/>
              </w:rPr>
            </w:pPr>
            <w:r>
              <w:rPr>
                <w:rFonts w:hint="eastAsia" w:ascii="Times New Roman" w:hAnsi="Times New Roman" w:eastAsia="方正仿宋_GBK" w:cs="Times New Roman"/>
                <w:color w:val="000000" w:themeColor="text1"/>
                <w:sz w:val="28"/>
                <w:szCs w:val="28"/>
                <w:lang w:val="en-US" w:eastAsia="zh-CN"/>
              </w:rPr>
              <w:t>6</w:t>
            </w:r>
          </w:p>
        </w:tc>
        <w:tc>
          <w:tcPr>
            <w:tcW w:w="14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德宏州“十四五”食品安全规划</w:t>
            </w:r>
          </w:p>
        </w:tc>
        <w:tc>
          <w:tcPr>
            <w:tcW w:w="112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州政府食安办</w:t>
            </w:r>
          </w:p>
        </w:tc>
        <w:tc>
          <w:tcPr>
            <w:tcW w:w="9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2021年</w:t>
            </w:r>
          </w:p>
        </w:tc>
        <w:tc>
          <w:tcPr>
            <w:tcW w:w="36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云南省“十四五”食品安全规划</w:t>
            </w:r>
          </w:p>
        </w:tc>
        <w:tc>
          <w:tcPr>
            <w:tcW w:w="258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编制德宏州“十四五”食品安全规划是实施长效监管及促进食品产业发展的需要，将推动全州食品安全管理及食品产业发展</w:t>
            </w:r>
          </w:p>
        </w:tc>
        <w:tc>
          <w:tcPr>
            <w:tcW w:w="23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审议《德宏州“十四五”食品安全规划》，研究提出食品安全监管工作思路、目标、重点任务、重点项目、保障措施等</w:t>
            </w:r>
          </w:p>
        </w:tc>
        <w:tc>
          <w:tcPr>
            <w:tcW w:w="121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否</w:t>
            </w:r>
          </w:p>
        </w:tc>
        <w:tc>
          <w:tcPr>
            <w:tcW w:w="915" w:type="dxa"/>
            <w:vAlign w:val="center"/>
          </w:tcPr>
          <w:p>
            <w:pPr>
              <w:spacing w:line="300" w:lineRule="exact"/>
              <w:jc w:val="center"/>
              <w:rPr>
                <w:rFonts w:hint="default" w:ascii="Times New Roman" w:hAnsi="Times New Roman" w:eastAsia="方正仿宋_GBK"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845" w:type="dxa"/>
            <w:vAlign w:val="center"/>
          </w:tcPr>
          <w:p>
            <w:pPr>
              <w:spacing w:line="300" w:lineRule="exact"/>
              <w:jc w:val="center"/>
              <w:rPr>
                <w:rFonts w:hint="eastAsia" w:ascii="Times New Roman" w:hAnsi="Times New Roman" w:eastAsia="方正仿宋_GBK" w:cs="Times New Roman"/>
                <w:color w:val="000000" w:themeColor="text1"/>
                <w:sz w:val="28"/>
                <w:szCs w:val="28"/>
                <w:lang w:eastAsia="zh-CN"/>
              </w:rPr>
            </w:pPr>
            <w:r>
              <w:rPr>
                <w:rFonts w:hint="eastAsia" w:ascii="Times New Roman" w:hAnsi="Times New Roman" w:eastAsia="方正仿宋_GBK" w:cs="Times New Roman"/>
                <w:color w:val="000000" w:themeColor="text1"/>
                <w:sz w:val="28"/>
                <w:szCs w:val="28"/>
                <w:lang w:val="en-US" w:eastAsia="zh-CN"/>
              </w:rPr>
              <w:t>7</w:t>
            </w:r>
          </w:p>
        </w:tc>
        <w:tc>
          <w:tcPr>
            <w:tcW w:w="14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德宏州河湖岸线保护与利用规划</w:t>
            </w:r>
          </w:p>
        </w:tc>
        <w:tc>
          <w:tcPr>
            <w:tcW w:w="112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州水利局</w:t>
            </w:r>
          </w:p>
        </w:tc>
        <w:tc>
          <w:tcPr>
            <w:tcW w:w="9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2021年</w:t>
            </w:r>
          </w:p>
        </w:tc>
        <w:tc>
          <w:tcPr>
            <w:tcW w:w="36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《水利部办公厅关于印发河湖岸线保护与利用规划编制指南（试行）的通知》（办河湖函〔2019〕394号）、《云南省水利厅关于组织开展河湖岸线保护与利用规划编制的通知》（云水河管〔2020〕5号）</w:t>
            </w:r>
          </w:p>
        </w:tc>
        <w:tc>
          <w:tcPr>
            <w:tcW w:w="258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编制河湖岸线保护与利用规划，划定岸线功能分区，是中央全面推行河长制湖长制明确的重要任务，是加强岸线空间管控的重要基础，是推动岸线有效保护和合理利用的重要举措</w:t>
            </w:r>
          </w:p>
        </w:tc>
        <w:tc>
          <w:tcPr>
            <w:tcW w:w="23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审议《德宏州河湖岸线保护与利用规划》，划定重要涉水空间范围，提出重要涉水生态空间保护修复的任务措施</w:t>
            </w:r>
          </w:p>
        </w:tc>
        <w:tc>
          <w:tcPr>
            <w:tcW w:w="121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是</w:t>
            </w:r>
          </w:p>
        </w:tc>
        <w:tc>
          <w:tcPr>
            <w:tcW w:w="915" w:type="dxa"/>
            <w:vAlign w:val="center"/>
          </w:tcPr>
          <w:p>
            <w:pPr>
              <w:spacing w:line="300" w:lineRule="exact"/>
              <w:jc w:val="center"/>
              <w:rPr>
                <w:rFonts w:hint="default" w:ascii="Times New Roman" w:hAnsi="Times New Roman" w:eastAsia="方正仿宋_GBK" w:cs="Times New Roman"/>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845" w:type="dxa"/>
            <w:vAlign w:val="center"/>
          </w:tcPr>
          <w:p>
            <w:pPr>
              <w:spacing w:line="300" w:lineRule="exact"/>
              <w:jc w:val="center"/>
              <w:rPr>
                <w:rFonts w:hint="eastAsia" w:ascii="Times New Roman" w:hAnsi="Times New Roman" w:eastAsia="方正仿宋_GBK" w:cs="Times New Roman"/>
                <w:color w:val="000000" w:themeColor="text1"/>
                <w:sz w:val="28"/>
                <w:szCs w:val="28"/>
                <w:lang w:eastAsia="zh-CN"/>
              </w:rPr>
            </w:pPr>
            <w:r>
              <w:rPr>
                <w:rFonts w:hint="eastAsia" w:ascii="Times New Roman" w:hAnsi="Times New Roman" w:eastAsia="方正仿宋_GBK" w:cs="Times New Roman"/>
                <w:color w:val="000000" w:themeColor="text1"/>
                <w:sz w:val="28"/>
                <w:szCs w:val="28"/>
                <w:lang w:val="en-US" w:eastAsia="zh-CN"/>
              </w:rPr>
              <w:t>8</w:t>
            </w:r>
          </w:p>
        </w:tc>
        <w:tc>
          <w:tcPr>
            <w:tcW w:w="14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德宏州“十四五”水安全保障规划</w:t>
            </w:r>
          </w:p>
        </w:tc>
        <w:tc>
          <w:tcPr>
            <w:tcW w:w="112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州水利局</w:t>
            </w:r>
          </w:p>
        </w:tc>
        <w:tc>
          <w:tcPr>
            <w:tcW w:w="9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2021年</w:t>
            </w:r>
          </w:p>
        </w:tc>
        <w:tc>
          <w:tcPr>
            <w:tcW w:w="369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云南省水利发展规划（2016-2020年）》《云南省水利厅关于抓紧做好水利改革发展“十四五”规划思路报告材料编制的通知》《德宏州人民政府办公室关于印发德宏州“十四五”规划编制工作方案的通知》（德政办发〔2019〕33号）</w:t>
            </w:r>
          </w:p>
        </w:tc>
        <w:tc>
          <w:tcPr>
            <w:tcW w:w="2580"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编制德宏州“十四五”水安全保障规划是指导水利发展改革的需要，为德宏州水利基础设施建设提供规划依据</w:t>
            </w:r>
          </w:p>
        </w:tc>
        <w:tc>
          <w:tcPr>
            <w:tcW w:w="235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审议《德宏州“十四五”水安全保障规划》，明确水利发展目标，完善总体布局</w:t>
            </w:r>
          </w:p>
        </w:tc>
        <w:tc>
          <w:tcPr>
            <w:tcW w:w="1215" w:type="dxa"/>
            <w:vAlign w:val="center"/>
          </w:tcPr>
          <w:p>
            <w:pPr>
              <w:spacing w:line="300" w:lineRule="exact"/>
              <w:jc w:val="center"/>
              <w:rPr>
                <w:rFonts w:hint="default" w:ascii="Times New Roman" w:hAnsi="Times New Roman" w:eastAsia="方正仿宋_GBK" w:cs="Times New Roman"/>
                <w:color w:val="000000" w:themeColor="text1"/>
                <w:sz w:val="28"/>
                <w:szCs w:val="28"/>
              </w:rPr>
            </w:pPr>
            <w:r>
              <w:rPr>
                <w:rFonts w:hint="default" w:ascii="Times New Roman" w:hAnsi="Times New Roman" w:eastAsia="方正仿宋_GBK" w:cs="Times New Roman"/>
                <w:color w:val="000000" w:themeColor="text1"/>
                <w:sz w:val="28"/>
                <w:szCs w:val="28"/>
              </w:rPr>
              <w:t>是</w:t>
            </w:r>
          </w:p>
        </w:tc>
        <w:tc>
          <w:tcPr>
            <w:tcW w:w="915" w:type="dxa"/>
            <w:vAlign w:val="center"/>
          </w:tcPr>
          <w:p>
            <w:pPr>
              <w:spacing w:line="300" w:lineRule="exact"/>
              <w:jc w:val="center"/>
              <w:rPr>
                <w:rFonts w:hint="default" w:ascii="Times New Roman" w:hAnsi="Times New Roman" w:eastAsia="方正仿宋_GBK" w:cs="Times New Roman"/>
                <w:color w:val="000000" w:themeColor="text1"/>
                <w:sz w:val="28"/>
                <w:szCs w:val="28"/>
              </w:rPr>
            </w:pPr>
          </w:p>
        </w:tc>
      </w:tr>
    </w:tbl>
    <w:p>
      <w:pPr>
        <w:jc w:val="center"/>
        <w:rPr>
          <w:rFonts w:ascii="方正仿宋_GBK" w:hAnsi="方正仿宋_GBK" w:eastAsia="方正仿宋_GBK" w:cs="Times New Roman"/>
          <w:sz w:val="28"/>
          <w:szCs w:val="28"/>
        </w:rPr>
      </w:pPr>
    </w:p>
    <w:sectPr>
      <w:headerReference r:id="rId3" w:type="default"/>
      <w:footerReference r:id="rId4" w:type="default"/>
      <w:pgSz w:w="16838" w:h="11905" w:orient="landscape"/>
      <w:pgMar w:top="1701" w:right="1440" w:bottom="1701" w:left="1134"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B32C0"/>
    <w:rsid w:val="000246A1"/>
    <w:rsid w:val="000E2E6D"/>
    <w:rsid w:val="004E4784"/>
    <w:rsid w:val="00B2653B"/>
    <w:rsid w:val="00EC4A40"/>
    <w:rsid w:val="033E18A3"/>
    <w:rsid w:val="089A10D5"/>
    <w:rsid w:val="0B7105A4"/>
    <w:rsid w:val="15C709AF"/>
    <w:rsid w:val="18897D1B"/>
    <w:rsid w:val="19574E48"/>
    <w:rsid w:val="1C361146"/>
    <w:rsid w:val="1C3932B2"/>
    <w:rsid w:val="1E6D67B5"/>
    <w:rsid w:val="25621946"/>
    <w:rsid w:val="25D907FB"/>
    <w:rsid w:val="29EA0DC9"/>
    <w:rsid w:val="31BB4EF3"/>
    <w:rsid w:val="359D3A8D"/>
    <w:rsid w:val="3C386E9E"/>
    <w:rsid w:val="41FA0D05"/>
    <w:rsid w:val="460A23E4"/>
    <w:rsid w:val="49724EB6"/>
    <w:rsid w:val="4BBF2DCB"/>
    <w:rsid w:val="4CDA717A"/>
    <w:rsid w:val="53305A7B"/>
    <w:rsid w:val="549F2562"/>
    <w:rsid w:val="553606D8"/>
    <w:rsid w:val="56B92A22"/>
    <w:rsid w:val="56EB32C0"/>
    <w:rsid w:val="5B433F6D"/>
    <w:rsid w:val="5B585624"/>
    <w:rsid w:val="5EE76483"/>
    <w:rsid w:val="669E1309"/>
    <w:rsid w:val="69106DF0"/>
    <w:rsid w:val="69CE40C4"/>
    <w:rsid w:val="6ECE1464"/>
    <w:rsid w:val="700D2846"/>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德宏州直属党政机关单位</Company>
  <Pages>4</Pages>
  <Words>328</Words>
  <Characters>1872</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2020-11-18T03:08:00Z</dcterms:created>
  <dc:creator>陈莎</dc:creator>
  <cp:lastModifiedBy>孙家谱</cp:lastModifiedBy>
  <dcterms:modified xsi:type="dcterms:W3CDTF">2021-05-24T09:58:08Z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