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附件9</w:t>
      </w:r>
    </w:p>
    <w:p>
      <w:pPr>
        <w:spacing w:line="600" w:lineRule="exact"/>
        <w:jc w:val="center"/>
        <w:rPr>
          <w:rFonts w:ascii="Times New Roman" w:hAnsi="Times New Roman" w:eastAsia="方正黑体_GBK"/>
          <w:bCs/>
          <w:sz w:val="36"/>
          <w:szCs w:val="36"/>
          <w:shd w:val="clear" w:color="auto" w:fill="FFFFFF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复工复产企业</w:t>
      </w:r>
      <w:r>
        <w:rPr>
          <w:rFonts w:ascii="Times New Roman" w:hAnsi="Times New Roman" w:eastAsia="方正小标宋_GBK"/>
          <w:bCs/>
          <w:sz w:val="44"/>
          <w:szCs w:val="44"/>
          <w:shd w:val="clear" w:color="auto" w:fill="FFFFFF"/>
        </w:rPr>
        <w:t>员工健康管理规范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单位（企业）负责做好每天疫情防控工作安排和检查。负责组织新冠肺炎有关知识宣传教育培训工作；做好出入人员的体温检测和登记工作；监督现场人员按要求佩戴口罩、勤洗手；做好食堂食品安全工作；做好环境卫生工作；向属地行业主管部门报告疫情防控情况。班组长负责本班组人员疫情防控工作。</w:t>
      </w:r>
    </w:p>
    <w:p>
      <w:pPr>
        <w:spacing w:line="50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  <w:t>一、落实员工返岗前健康状况排查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全面排查每位返岗员工情况并建立健康卡，及时向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属地</w:t>
      </w:r>
      <w:r>
        <w:rPr>
          <w:rFonts w:ascii="Times New Roman" w:hAnsi="Times New Roman" w:eastAsia="方正仿宋_GBK"/>
          <w:bCs/>
          <w:sz w:val="32"/>
          <w:szCs w:val="32"/>
        </w:rPr>
        <w:t>行业主管机构上报当日返回员工情况。严格落实“四个一律”，即对返岗和驻守员工一律测量体温；对返岗和驻守员工的健康状况一律排查登记；对具有省外居住史或旅行史的员工，以及与上述人员有过密切接触者，一律隔离观察，确认健康后方可返岗（原则上采取错峰返岗措施，非关键岗位员工可延后返岗，在省外的员工暂缓返岗）；员工出现发热（腋下体温大于等于37.0度）、咳嗽、乏力等症状时，一律不得返岗，需立即送到州和县市指定医院就诊。并按第五条做好应急处置工作（按附表2做好记录）。</w:t>
      </w:r>
    </w:p>
    <w:p>
      <w:pPr>
        <w:spacing w:line="50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方正黑体_GBK"/>
          <w:bCs/>
          <w:sz w:val="32"/>
          <w:szCs w:val="32"/>
          <w:shd w:val="clear" w:color="auto" w:fill="FFFFFF"/>
        </w:rPr>
        <w:t>二、落实员工每日健康状况排查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单位（企业）复工复产后实行封闭式管理，严格实行实名制管理，对进出单位（企业）的人员进行实名登记和核查。</w:t>
      </w:r>
      <w:r>
        <w:rPr>
          <w:rFonts w:ascii="Times New Roman" w:hAnsi="Times New Roman" w:eastAsia="方正仿宋_GBK"/>
          <w:bCs/>
          <w:kern w:val="0"/>
          <w:sz w:val="32"/>
          <w:szCs w:val="32"/>
          <w:shd w:val="clear" w:color="auto" w:fill="FFFFFF"/>
        </w:rPr>
        <w:t>一是单位（企业）要设置体温检测点，对所有人员每日测试2次体温。二是严格门卫登记值班制度，严格控制外来人员随意进、出。三是单位（企业）不组织和不参加聚集性的活动。四是</w:t>
      </w:r>
      <w:r>
        <w:rPr>
          <w:rFonts w:ascii="Times New Roman" w:hAnsi="Times New Roman" w:eastAsia="方正仿宋_GBK"/>
          <w:bCs/>
          <w:sz w:val="32"/>
          <w:szCs w:val="32"/>
        </w:rPr>
        <w:t>当员工出现发热（腋下体温超过37.0度）、咳嗽、乏力等症状时，一律不得进入工作区、生活区，并按第五条做好应急处置工作。（按附表1做好来访人员登记，并在单位（企业）入口张贴标识一、标识二的告示）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sz w:val="32"/>
          <w:szCs w:val="32"/>
        </w:rPr>
        <w:t>三、</w:t>
      </w:r>
      <w:r>
        <w:rPr>
          <w:rFonts w:ascii="Times New Roman" w:hAnsi="Times New Roman" w:eastAsia="方正黑体_GBK"/>
          <w:bCs/>
          <w:kern w:val="0"/>
          <w:sz w:val="32"/>
          <w:szCs w:val="32"/>
        </w:rPr>
        <w:t>聚集管理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（一）食堂应实行分餐、错峰用餐等措施。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（二）班前教育、技术交底等活动应分散开展。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（三）疫情防范和安全教育宜采用微信、广播等方式进行。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（四）减少集中召开会议。确需集中召开的，宜优先选择开敞、通风地方，参会人员应佩戴口罩</w:t>
      </w:r>
      <w:bookmarkStart w:id="0" w:name="_Toc31292406"/>
      <w:r>
        <w:rPr>
          <w:rFonts w:ascii="Times New Roman" w:hAnsi="Times New Roman" w:eastAsia="方正仿宋_GBK"/>
          <w:bCs/>
          <w:kern w:val="0"/>
          <w:sz w:val="32"/>
          <w:szCs w:val="32"/>
        </w:rPr>
        <w:t>，进入会场前后洗手消毒。</w:t>
      </w:r>
      <w:bookmarkEnd w:id="0"/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黑体_GBK"/>
          <w:bCs/>
          <w:kern w:val="0"/>
          <w:sz w:val="32"/>
          <w:szCs w:val="32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四、物资保障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（一） 建筑工地应配备体温枪、温度计、防护口罩、消毒液、洗涤用品等防疫物资。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kern w:val="0"/>
          <w:sz w:val="32"/>
          <w:szCs w:val="32"/>
        </w:rPr>
      </w:pPr>
      <w:r>
        <w:rPr>
          <w:rFonts w:ascii="Times New Roman" w:hAnsi="Times New Roman" w:eastAsia="方正仿宋_GBK"/>
          <w:bCs/>
          <w:kern w:val="0"/>
          <w:sz w:val="32"/>
          <w:szCs w:val="32"/>
        </w:rPr>
        <w:t>（二）应设置单独隔离观察宿舍，用于临时隔离观察人员居住。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黑体_GBK"/>
          <w:bCs/>
          <w:sz w:val="32"/>
          <w:szCs w:val="32"/>
        </w:rPr>
      </w:pPr>
      <w:r>
        <w:rPr>
          <w:rFonts w:ascii="Times New Roman" w:hAnsi="Times New Roman" w:eastAsia="方正黑体_GBK"/>
          <w:bCs/>
          <w:kern w:val="0"/>
          <w:sz w:val="32"/>
          <w:szCs w:val="32"/>
        </w:rPr>
        <w:t>五、</w:t>
      </w:r>
      <w:r>
        <w:rPr>
          <w:rFonts w:ascii="Times New Roman" w:hAnsi="Times New Roman" w:eastAsia="方正黑体_GBK"/>
          <w:bCs/>
          <w:sz w:val="32"/>
          <w:szCs w:val="32"/>
        </w:rPr>
        <w:t>应急处置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若员工出现发热、咳嗽、乏力、气促等症状，务必第一时间到州和县市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定点</w:t>
      </w:r>
      <w:r>
        <w:rPr>
          <w:rFonts w:ascii="Times New Roman" w:hAnsi="Times New Roman" w:eastAsia="方正仿宋_GBK"/>
          <w:bCs/>
          <w:sz w:val="32"/>
          <w:szCs w:val="32"/>
        </w:rPr>
        <w:t>医疗机构就诊。就诊途中全程佩戴口罩，避免乘坐公共交通工具，就诊时要主动如实告知医生居旅史，听从医护人员指引。同时，报告</w:t>
      </w:r>
      <w:r>
        <w:rPr>
          <w:rFonts w:ascii="Times New Roman" w:hAnsi="Times New Roman" w:eastAsia="方正仿宋_GBK"/>
          <w:bCs/>
          <w:sz w:val="32"/>
          <w:szCs w:val="32"/>
          <w:shd w:val="clear" w:color="auto" w:fill="FFFFFF"/>
        </w:rPr>
        <w:t>属地行业主管部门</w:t>
      </w:r>
      <w:r>
        <w:rPr>
          <w:rFonts w:ascii="Times New Roman" w:hAnsi="Times New Roman" w:eastAsia="方正仿宋_GBK"/>
          <w:bCs/>
          <w:sz w:val="32"/>
          <w:szCs w:val="32"/>
        </w:rPr>
        <w:t>，积极配合疾控部门做好密切接触人群的追踪和排查。</w:t>
      </w: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附件：1. 来访人员登记表</w:t>
      </w:r>
    </w:p>
    <w:p>
      <w:pPr>
        <w:widowControl/>
        <w:numPr>
          <w:ilvl w:val="0"/>
          <w:numId w:val="1"/>
        </w:numPr>
        <w:shd w:val="clear" w:color="auto" w:fill="FFFFFF"/>
        <w:spacing w:line="500" w:lineRule="exact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体温异常人员登记表</w:t>
      </w:r>
    </w:p>
    <w:p>
      <w:pPr>
        <w:numPr>
          <w:ilvl w:val="0"/>
          <w:numId w:val="1"/>
        </w:numPr>
        <w:spacing w:line="500" w:lineRule="exact"/>
        <w:rPr>
          <w:rFonts w:ascii="Times New Roman" w:hAnsi="Times New Roman" w:eastAsia="方正仿宋_GBK"/>
          <w:bCs/>
          <w:spacing w:val="-11"/>
          <w:sz w:val="32"/>
          <w:szCs w:val="32"/>
        </w:rPr>
      </w:pPr>
      <w:r>
        <w:rPr>
          <w:rFonts w:ascii="Times New Roman" w:hAnsi="Times New Roman" w:eastAsia="方正仿宋_GBK"/>
          <w:bCs/>
          <w:spacing w:val="-11"/>
          <w:sz w:val="32"/>
          <w:szCs w:val="32"/>
        </w:rPr>
        <w:t>新冠肺炎疫情防控期间防控标识</w:t>
      </w:r>
    </w:p>
    <w:p>
      <w:pPr>
        <w:jc w:val="left"/>
        <w:rPr>
          <w:rFonts w:ascii="Times New Roman" w:hAnsi="Times New Roman" w:eastAsia="方正仿宋_GBK"/>
          <w:bCs/>
          <w:spacing w:val="-11"/>
          <w:sz w:val="32"/>
          <w:szCs w:val="32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 w:eastAsia="方正黑体_GBK"/>
          <w:sz w:val="32"/>
          <w:szCs w:val="32"/>
        </w:rPr>
        <w:t>附件9-1</w:t>
      </w:r>
    </w:p>
    <w:tbl>
      <w:tblPr>
        <w:tblStyle w:val="4"/>
        <w:tblW w:w="10365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1035"/>
        <w:gridCol w:w="1380"/>
        <w:gridCol w:w="1335"/>
        <w:gridCol w:w="2235"/>
        <w:gridCol w:w="1545"/>
        <w:gridCol w:w="189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0365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52"/>
                <w:szCs w:val="52"/>
              </w:rPr>
            </w:pP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来访人员登记表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来访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电话号码</w:t>
            </w:r>
          </w:p>
        </w:tc>
        <w:tc>
          <w:tcPr>
            <w:tcW w:w="2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工作单位或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住址</w:t>
            </w:r>
          </w:p>
        </w:tc>
        <w:tc>
          <w:tcPr>
            <w:tcW w:w="15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体温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日期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来访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时间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 w:eastAsia="方正黑体_GBK"/>
          <w:sz w:val="32"/>
          <w:szCs w:val="32"/>
        </w:rPr>
        <w:t>附件9-2</w:t>
      </w:r>
    </w:p>
    <w:tbl>
      <w:tblPr>
        <w:tblStyle w:val="4"/>
        <w:tblW w:w="10350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1391"/>
        <w:gridCol w:w="1375"/>
        <w:gridCol w:w="1374"/>
        <w:gridCol w:w="1450"/>
        <w:gridCol w:w="1539"/>
        <w:gridCol w:w="187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0350" w:type="dxa"/>
            <w:gridSpan w:val="7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56"/>
                <w:szCs w:val="56"/>
              </w:rPr>
            </w:pPr>
            <w:r>
              <w:rPr>
                <w:rFonts w:ascii="Times New Roman" w:hAnsi="Times New Roman" w:eastAsia="方正小标宋_GBK"/>
                <w:kern w:val="0"/>
                <w:sz w:val="44"/>
                <w:szCs w:val="44"/>
              </w:rPr>
              <w:t>体温异常人员登记表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日期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姓名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上午</w:t>
            </w:r>
          </w:p>
        </w:tc>
        <w:tc>
          <w:tcPr>
            <w:tcW w:w="2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下午</w:t>
            </w:r>
          </w:p>
        </w:tc>
        <w:tc>
          <w:tcPr>
            <w:tcW w:w="1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3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第1次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第2次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第1次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_GBK"/>
                <w:sz w:val="32"/>
                <w:szCs w:val="32"/>
              </w:rPr>
            </w:pPr>
            <w:r>
              <w:rPr>
                <w:rFonts w:ascii="Times New Roman" w:hAnsi="Times New Roman" w:eastAsia="方正黑体_GBK"/>
                <w:kern w:val="0"/>
                <w:sz w:val="32"/>
                <w:szCs w:val="32"/>
              </w:rPr>
              <w:t>第2次</w:t>
            </w:r>
          </w:p>
        </w:tc>
        <w:tc>
          <w:tcPr>
            <w:tcW w:w="1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黑体_GBK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spacing w:line="560" w:lineRule="exact"/>
        <w:jc w:val="left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/>
        </w:rPr>
        <w:br w:type="page"/>
      </w:r>
    </w:p>
    <w:p>
      <w:pPr>
        <w:spacing w:line="560" w:lineRule="exact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附件9-3</w:t>
      </w:r>
    </w:p>
    <w:p>
      <w:pPr>
        <w:spacing w:line="560" w:lineRule="exact"/>
        <w:jc w:val="left"/>
        <w:rPr>
          <w:rFonts w:ascii="Times New Roman" w:hAnsi="Times New Roman" w:eastAsia="方正小标宋_GBK"/>
          <w:sz w:val="32"/>
          <w:szCs w:val="32"/>
        </w:rPr>
      </w:pPr>
    </w:p>
    <w:p>
      <w:pPr>
        <w:jc w:val="center"/>
        <w:rPr>
          <w:rFonts w:ascii="Times New Roman" w:hAnsi="Times New Roman" w:eastAsia="方正小标宋_GBK"/>
          <w:b/>
          <w:bCs/>
          <w:sz w:val="44"/>
          <w:szCs w:val="44"/>
        </w:rPr>
      </w:pPr>
      <w:r>
        <w:rPr>
          <w:rFonts w:ascii="Times New Roman" w:hAnsi="Times New Roman" w:eastAsia="方正小标宋_GBK"/>
          <w:b/>
          <w:bCs/>
          <w:sz w:val="44"/>
          <w:szCs w:val="44"/>
        </w:rPr>
        <w:t>新冠肺炎疫情防控期间</w:t>
      </w:r>
    </w:p>
    <w:p>
      <w:pPr>
        <w:jc w:val="center"/>
        <w:rPr>
          <w:rFonts w:ascii="Times New Roman" w:hAnsi="Times New Roman" w:eastAsia="方正小标宋_GBK"/>
        </w:rPr>
      </w:pPr>
    </w:p>
    <w:p>
      <w:pPr>
        <w:jc w:val="center"/>
        <w:rPr>
          <w:rFonts w:ascii="Times New Roman" w:hAnsi="Times New Roman" w:eastAsia="方正小标宋_GBK"/>
        </w:rPr>
      </w:pPr>
    </w:p>
    <w:p>
      <w:pPr>
        <w:jc w:val="center"/>
        <w:rPr>
          <w:rFonts w:ascii="Times New Roman" w:hAnsi="Times New Roman" w:eastAsia="方正小标宋_GBK"/>
        </w:rPr>
      </w:pPr>
    </w:p>
    <w:p>
      <w:pPr>
        <w:jc w:val="center"/>
        <w:rPr>
          <w:rFonts w:ascii="Times New Roman" w:hAnsi="Times New Roman" w:eastAsia="方正小标宋_GBK"/>
        </w:rPr>
      </w:pPr>
    </w:p>
    <w:p>
      <w:pPr>
        <w:rPr>
          <w:rFonts w:ascii="Times New Roman" w:hAnsi="Times New Roman" w:eastAsia="方正小标宋_GBK"/>
        </w:rPr>
      </w:pPr>
    </w:p>
    <w:p>
      <w:pPr>
        <w:spacing w:line="1200" w:lineRule="auto"/>
        <w:jc w:val="center"/>
        <w:rPr>
          <w:rFonts w:ascii="Times New Roman" w:hAnsi="Times New Roman" w:eastAsia="方正小标宋_GBK"/>
          <w:b/>
          <w:bCs/>
          <w:sz w:val="72"/>
          <w:szCs w:val="72"/>
        </w:rPr>
      </w:pPr>
      <w:r>
        <w:rPr>
          <w:rFonts w:ascii="Times New Roman" w:hAnsi="Times New Roman" w:eastAsia="方正小标宋_GBK"/>
          <w:b/>
          <w:bCs/>
          <w:sz w:val="72"/>
          <w:szCs w:val="72"/>
        </w:rPr>
        <w:t>无关人员、非本单位车辆</w:t>
      </w:r>
    </w:p>
    <w:p>
      <w:pPr>
        <w:spacing w:line="1200" w:lineRule="auto"/>
        <w:jc w:val="center"/>
        <w:rPr>
          <w:rFonts w:ascii="Times New Roman" w:hAnsi="Times New Roman" w:eastAsia="方正小标宋_GBK"/>
          <w:b/>
          <w:bCs/>
          <w:sz w:val="72"/>
          <w:szCs w:val="72"/>
        </w:rPr>
      </w:pPr>
      <w:r>
        <w:rPr>
          <w:rFonts w:ascii="Times New Roman" w:hAnsi="Times New Roman" w:eastAsia="方正小标宋_GBK"/>
          <w:b/>
          <w:bCs/>
          <w:sz w:val="72"/>
          <w:szCs w:val="72"/>
        </w:rPr>
        <w:t>禁止入内</w:t>
      </w:r>
    </w:p>
    <w:p>
      <w:pPr>
        <w:spacing w:line="1200" w:lineRule="auto"/>
        <w:jc w:val="center"/>
        <w:rPr>
          <w:rFonts w:ascii="Times New Roman" w:hAnsi="Times New Roman" w:eastAsia="方正小标宋_GBK"/>
          <w:b/>
          <w:bCs/>
          <w:sz w:val="72"/>
          <w:szCs w:val="72"/>
        </w:rPr>
      </w:pPr>
    </w:p>
    <w:p>
      <w:pPr>
        <w:spacing w:line="1200" w:lineRule="auto"/>
        <w:jc w:val="center"/>
        <w:rPr>
          <w:rFonts w:ascii="Times New Roman" w:hAnsi="Times New Roman" w:eastAsia="方正小标宋_GBK"/>
          <w:bCs/>
          <w:sz w:val="32"/>
          <w:szCs w:val="32"/>
        </w:rPr>
      </w:pPr>
      <w:r>
        <w:rPr>
          <w:rFonts w:ascii="Times New Roman" w:hAnsi="Times New Roman" w:eastAsia="方正小标宋_GBK"/>
          <w:b/>
          <w:bCs/>
          <w:sz w:val="84"/>
          <w:szCs w:val="84"/>
        </w:rPr>
        <w:t>体温监测点</w:t>
      </w:r>
    </w:p>
    <w:p>
      <w:pPr>
        <w:rPr>
          <w:rFonts w:ascii="Times New Roman" w:hAnsi="Times New Roman" w:eastAsia="方正仿宋_GBK"/>
          <w:bCs/>
          <w:sz w:val="32"/>
          <w:szCs w:val="32"/>
        </w:rPr>
      </w:pPr>
    </w:p>
    <w:p>
      <w:pPr>
        <w:rPr>
          <w:rFonts w:ascii="Times New Roman" w:hAnsi="Times New Roman" w:eastAsia="方正仿宋_GBK"/>
          <w:bCs/>
          <w:sz w:val="32"/>
          <w:szCs w:val="32"/>
        </w:rPr>
      </w:pPr>
    </w:p>
    <w:p>
      <w:pPr>
        <w:rPr>
          <w:rFonts w:ascii="Times New Roman" w:hAnsi="Times New Roman" w:eastAsia="方正仿宋_GBK"/>
          <w:bCs/>
          <w:sz w:val="32"/>
          <w:szCs w:val="32"/>
        </w:rPr>
      </w:pPr>
    </w:p>
    <w:p>
      <w:pPr>
        <w:rPr>
          <w:rFonts w:ascii="Times New Roman" w:hAnsi="Times New Roman" w:eastAsia="方正仿宋_GBK"/>
          <w:bCs/>
          <w:sz w:val="32"/>
          <w:szCs w:val="32"/>
        </w:rPr>
      </w:pPr>
    </w:p>
    <w:p>
      <w:pPr>
        <w:rPr>
          <w:rFonts w:ascii="Times New Roman" w:hAnsi="Times New Roma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CB4B"/>
    <w:multiLevelType w:val="singleLevel"/>
    <w:tmpl w:val="2E3BCB4B"/>
    <w:lvl w:ilvl="0" w:tentative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043F4"/>
    <w:rsid w:val="75F043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2020-02-10T11:13:00Z</dcterms:created>
  <dc:creator>DHZZF02</dc:creator>
  <cp:lastModifiedBy>DHZZF02</cp:lastModifiedBy>
  <dcterms:modified xsi:type="dcterms:W3CDTF">2020-02-10T11:13:51Z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