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75B" w:rsidRDefault="009B775B" w:rsidP="009B775B">
      <w:pPr>
        <w:widowControl/>
        <w:snapToGrid w:val="0"/>
        <w:spacing w:before="100" w:after="100" w:line="360" w:lineRule="auto"/>
        <w:ind w:firstLineChars="200" w:firstLine="31680"/>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德宏州接待处</w:t>
      </w:r>
      <w:r>
        <w:rPr>
          <w:rFonts w:ascii="方正小标宋_GBK" w:eastAsia="方正小标宋_GBK" w:hAnsi="方正小标宋_GBK" w:cs="方正小标宋_GBK"/>
          <w:sz w:val="44"/>
          <w:szCs w:val="44"/>
        </w:rPr>
        <w:t>2017</w:t>
      </w:r>
      <w:r>
        <w:rPr>
          <w:rFonts w:ascii="方正小标宋_GBK" w:eastAsia="方正小标宋_GBK" w:hAnsi="方正小标宋_GBK" w:cs="方正小标宋_GBK" w:hint="eastAsia"/>
          <w:sz w:val="44"/>
          <w:szCs w:val="44"/>
        </w:rPr>
        <w:t>年部门预算</w:t>
      </w:r>
    </w:p>
    <w:p w:rsidR="009B775B" w:rsidRDefault="009B775B" w:rsidP="00656C1D">
      <w:pPr>
        <w:widowControl/>
        <w:snapToGrid w:val="0"/>
        <w:spacing w:before="100" w:after="100" w:line="360" w:lineRule="auto"/>
        <w:ind w:firstLineChars="200" w:firstLine="31680"/>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重要事项情况说明及名词解释</w:t>
      </w:r>
    </w:p>
    <w:p w:rsidR="009B775B" w:rsidRDefault="009B775B" w:rsidP="00656C1D">
      <w:pPr>
        <w:widowControl/>
        <w:snapToGrid w:val="0"/>
        <w:spacing w:before="100" w:after="100" w:line="600" w:lineRule="exact"/>
        <w:ind w:firstLineChars="200" w:firstLine="31680"/>
        <w:jc w:val="left"/>
        <w:rPr>
          <w:rFonts w:ascii="方正黑体_GBK" w:eastAsia="方正黑体_GBK" w:hAnsi="方正黑体_GBK" w:cs="方正黑体_GBK"/>
          <w:sz w:val="32"/>
          <w:szCs w:val="32"/>
        </w:rPr>
      </w:pPr>
      <w:r>
        <w:rPr>
          <w:rFonts w:ascii="方正黑体_GBK" w:eastAsia="方正黑体_GBK" w:hAnsi="方正黑体_GBK" w:cs="方正黑体_GBK"/>
          <w:sz w:val="32"/>
          <w:szCs w:val="32"/>
        </w:rPr>
        <w:t>(</w:t>
      </w:r>
      <w:r>
        <w:rPr>
          <w:rFonts w:ascii="方正黑体_GBK" w:eastAsia="方正黑体_GBK" w:hAnsi="方正黑体_GBK" w:cs="方正黑体_GBK" w:hint="eastAsia"/>
          <w:sz w:val="32"/>
          <w:szCs w:val="32"/>
        </w:rPr>
        <w:t>一</w:t>
      </w:r>
      <w:r>
        <w:rPr>
          <w:rFonts w:ascii="方正黑体_GBK" w:eastAsia="方正黑体_GBK" w:hAnsi="方正黑体_GBK" w:cs="方正黑体_GBK"/>
          <w:sz w:val="32"/>
          <w:szCs w:val="32"/>
        </w:rPr>
        <w:t>)</w:t>
      </w:r>
      <w:r>
        <w:rPr>
          <w:rFonts w:ascii="方正黑体_GBK" w:eastAsia="方正黑体_GBK" w:hAnsi="方正黑体_GBK" w:cs="方正黑体_GBK" w:hint="eastAsia"/>
          <w:sz w:val="32"/>
          <w:szCs w:val="32"/>
        </w:rPr>
        <w:t>机关运行经费支出情况</w:t>
      </w:r>
    </w:p>
    <w:p w:rsidR="009B775B" w:rsidRDefault="009B775B" w:rsidP="00726676">
      <w:pPr>
        <w:widowControl/>
        <w:snapToGrid w:val="0"/>
        <w:spacing w:before="100" w:after="100" w:line="360" w:lineRule="auto"/>
        <w:ind w:firstLineChars="200" w:firstLine="31680"/>
        <w:jc w:val="left"/>
        <w:rPr>
          <w:rFonts w:ascii="Times New Roman" w:eastAsia="方正仿宋_GBK" w:hAnsi="Times New Roman"/>
          <w:kern w:val="0"/>
          <w:sz w:val="32"/>
          <w:szCs w:val="32"/>
        </w:rPr>
      </w:pPr>
      <w:r>
        <w:rPr>
          <w:rFonts w:ascii="Times New Roman" w:eastAsia="方正仿宋_GBK" w:hAnsi="Times New Roman" w:hint="eastAsia"/>
          <w:sz w:val="32"/>
          <w:szCs w:val="32"/>
        </w:rPr>
        <w:t>州接待处</w:t>
      </w:r>
      <w:r>
        <w:rPr>
          <w:rFonts w:ascii="Times New Roman" w:eastAsia="方正仿宋_GBK" w:hAnsi="Times New Roman"/>
          <w:sz w:val="32"/>
          <w:szCs w:val="32"/>
        </w:rPr>
        <w:t>2017</w:t>
      </w:r>
      <w:r>
        <w:rPr>
          <w:rFonts w:ascii="Times New Roman" w:eastAsia="方正仿宋_GBK" w:hAnsi="Times New Roman" w:hint="eastAsia"/>
          <w:sz w:val="32"/>
          <w:szCs w:val="32"/>
        </w:rPr>
        <w:t>年部门预算机关运行经费支出</w:t>
      </w:r>
      <w:r>
        <w:rPr>
          <w:rFonts w:ascii="Times New Roman" w:eastAsia="方正仿宋_GBK" w:hAnsi="Times New Roman"/>
          <w:sz w:val="32"/>
          <w:szCs w:val="32"/>
        </w:rPr>
        <w:t>35.94</w:t>
      </w:r>
      <w:r>
        <w:rPr>
          <w:rFonts w:ascii="Times New Roman" w:eastAsia="方正仿宋_GBK" w:hAnsi="Times New Roman" w:hint="eastAsia"/>
          <w:sz w:val="32"/>
          <w:szCs w:val="32"/>
        </w:rPr>
        <w:t>万元，</w:t>
      </w:r>
      <w:r>
        <w:rPr>
          <w:rFonts w:ascii="Times New Roman" w:eastAsia="方正仿宋_GBK" w:hAnsi="Times New Roman" w:hint="eastAsia"/>
          <w:kern w:val="0"/>
          <w:sz w:val="32"/>
          <w:szCs w:val="32"/>
        </w:rPr>
        <w:t>与上年对比</w:t>
      </w:r>
      <w:r>
        <w:rPr>
          <w:rFonts w:ascii="Times New Roman" w:eastAsia="方正仿宋_GBK" w:hAnsi="Times New Roman"/>
          <w:kern w:val="0"/>
          <w:sz w:val="32"/>
          <w:szCs w:val="32"/>
        </w:rPr>
        <w:t>14.1</w:t>
      </w:r>
      <w:r>
        <w:rPr>
          <w:rFonts w:ascii="Times New Roman" w:eastAsia="方正仿宋_GBK" w:hAnsi="Times New Roman" w:hint="eastAsia"/>
          <w:kern w:val="0"/>
          <w:sz w:val="32"/>
          <w:szCs w:val="32"/>
        </w:rPr>
        <w:t>万元增加</w:t>
      </w:r>
      <w:r>
        <w:rPr>
          <w:rFonts w:ascii="Times New Roman" w:eastAsia="方正仿宋_GBK" w:hAnsi="Times New Roman"/>
          <w:kern w:val="0"/>
          <w:sz w:val="32"/>
          <w:szCs w:val="32"/>
        </w:rPr>
        <w:t>21.84</w:t>
      </w:r>
      <w:r>
        <w:rPr>
          <w:rFonts w:ascii="Times New Roman" w:eastAsia="方正仿宋_GBK" w:hAnsi="Times New Roman" w:hint="eastAsia"/>
          <w:kern w:val="0"/>
          <w:sz w:val="32"/>
          <w:szCs w:val="32"/>
        </w:rPr>
        <w:t>万元</w:t>
      </w:r>
      <w:r>
        <w:rPr>
          <w:rFonts w:ascii="Times New Roman" w:eastAsia="方正仿宋_GBK" w:hAnsi="Times New Roman"/>
          <w:sz w:val="32"/>
          <w:szCs w:val="32"/>
        </w:rPr>
        <w:t>,</w:t>
      </w:r>
      <w:r>
        <w:rPr>
          <w:rFonts w:ascii="Times New Roman" w:eastAsia="方正仿宋_GBK" w:hAnsi="Times New Roman" w:hint="eastAsia"/>
          <w:sz w:val="32"/>
          <w:szCs w:val="32"/>
        </w:rPr>
        <w:t>主要</w:t>
      </w:r>
      <w:r>
        <w:rPr>
          <w:rFonts w:ascii="Times New Roman" w:eastAsia="方正仿宋_GBK" w:hAnsi="Times New Roman" w:hint="eastAsia"/>
          <w:kern w:val="0"/>
          <w:sz w:val="32"/>
          <w:szCs w:val="32"/>
        </w:rPr>
        <w:t>原因分析</w:t>
      </w:r>
      <w:r>
        <w:rPr>
          <w:rFonts w:ascii="Times New Roman" w:eastAsia="方正仿宋_GBK" w:hAnsi="Times New Roman"/>
          <w:kern w:val="0"/>
          <w:sz w:val="32"/>
          <w:szCs w:val="32"/>
        </w:rPr>
        <w:t>2016</w:t>
      </w:r>
      <w:r>
        <w:rPr>
          <w:rFonts w:ascii="Times New Roman" w:eastAsia="方正仿宋_GBK" w:hAnsi="Times New Roman" w:hint="eastAsia"/>
          <w:kern w:val="0"/>
          <w:sz w:val="32"/>
          <w:szCs w:val="32"/>
        </w:rPr>
        <w:t>年</w:t>
      </w:r>
      <w:r>
        <w:rPr>
          <w:rFonts w:ascii="Times New Roman" w:eastAsia="方正仿宋_GBK" w:hAnsi="Times New Roman"/>
          <w:kern w:val="0"/>
          <w:sz w:val="32"/>
          <w:szCs w:val="32"/>
        </w:rPr>
        <w:t>1</w:t>
      </w:r>
      <w:r>
        <w:rPr>
          <w:rFonts w:ascii="Times New Roman" w:eastAsia="方正仿宋_GBK" w:hAnsi="Times New Roman" w:hint="eastAsia"/>
          <w:kern w:val="0"/>
          <w:sz w:val="32"/>
          <w:szCs w:val="32"/>
        </w:rPr>
        <w:t>月开始执行公务交通补贴，其他交通费用增加</w:t>
      </w:r>
      <w:r>
        <w:rPr>
          <w:rFonts w:ascii="Times New Roman" w:eastAsia="方正仿宋_GBK" w:hAnsi="Times New Roman"/>
          <w:kern w:val="0"/>
          <w:sz w:val="32"/>
          <w:szCs w:val="32"/>
        </w:rPr>
        <w:t>22.44</w:t>
      </w:r>
      <w:r>
        <w:rPr>
          <w:rFonts w:ascii="Times New Roman" w:eastAsia="方正仿宋_GBK" w:hAnsi="Times New Roman" w:hint="eastAsia"/>
          <w:kern w:val="0"/>
          <w:sz w:val="32"/>
          <w:szCs w:val="32"/>
        </w:rPr>
        <w:t>万元。</w:t>
      </w:r>
    </w:p>
    <w:p w:rsidR="009B775B" w:rsidRPr="00726676" w:rsidRDefault="009B775B" w:rsidP="00726676">
      <w:pPr>
        <w:widowControl/>
        <w:snapToGrid w:val="0"/>
        <w:spacing w:before="100" w:after="100" w:line="360" w:lineRule="auto"/>
        <w:ind w:firstLineChars="200" w:firstLine="31680"/>
        <w:jc w:val="left"/>
        <w:rPr>
          <w:rFonts w:ascii="Times New Roman" w:eastAsia="方正仿宋_GBK" w:hAnsi="Times New Roman"/>
          <w:kern w:val="0"/>
          <w:sz w:val="32"/>
          <w:szCs w:val="32"/>
        </w:rPr>
      </w:pPr>
      <w:r>
        <w:rPr>
          <w:rFonts w:ascii="Times New Roman" w:eastAsia="方正仿宋_GBK" w:hAnsi="Times New Roman" w:hint="eastAsia"/>
          <w:kern w:val="0"/>
          <w:sz w:val="32"/>
          <w:szCs w:val="32"/>
        </w:rPr>
        <w:t>（二）</w:t>
      </w:r>
      <w:r>
        <w:rPr>
          <w:rFonts w:ascii="方正黑体_GBK" w:eastAsia="方正黑体_GBK" w:hAnsi="方正黑体_GBK" w:cs="方正黑体_GBK" w:hint="eastAsia"/>
          <w:sz w:val="32"/>
          <w:szCs w:val="32"/>
        </w:rPr>
        <w:t>政府采购情况说明</w:t>
      </w:r>
    </w:p>
    <w:p w:rsidR="009B775B" w:rsidRDefault="009B775B">
      <w:pPr>
        <w:widowControl/>
        <w:snapToGrid w:val="0"/>
        <w:spacing w:before="100" w:after="100" w:line="360" w:lineRule="auto"/>
        <w:ind w:firstLine="600"/>
        <w:jc w:val="left"/>
        <w:rPr>
          <w:rFonts w:ascii="Times New Roman" w:eastAsia="方正仿宋_GBK" w:hAnsi="Times New Roman"/>
          <w:kern w:val="0"/>
          <w:sz w:val="32"/>
          <w:szCs w:val="32"/>
        </w:rPr>
      </w:pPr>
      <w:r>
        <w:rPr>
          <w:rFonts w:ascii="Times New Roman" w:eastAsia="方正仿宋_GBK" w:hAnsi="Times New Roman" w:hint="eastAsia"/>
          <w:sz w:val="32"/>
          <w:szCs w:val="32"/>
        </w:rPr>
        <w:t>州接待处</w:t>
      </w:r>
      <w:r>
        <w:rPr>
          <w:rFonts w:ascii="Times New Roman" w:eastAsia="方正仿宋_GBK" w:hAnsi="Times New Roman"/>
          <w:sz w:val="32"/>
          <w:szCs w:val="32"/>
        </w:rPr>
        <w:t>2017</w:t>
      </w:r>
      <w:r>
        <w:rPr>
          <w:rFonts w:ascii="Times New Roman" w:eastAsia="方正仿宋_GBK" w:hAnsi="Times New Roman" w:hint="eastAsia"/>
          <w:sz w:val="32"/>
          <w:szCs w:val="32"/>
        </w:rPr>
        <w:t>年部门预算无政府采购经费</w:t>
      </w:r>
      <w:r>
        <w:rPr>
          <w:rFonts w:ascii="Times New Roman" w:eastAsia="方正仿宋_GBK" w:hAnsi="Times New Roman" w:hint="eastAsia"/>
          <w:kern w:val="0"/>
          <w:sz w:val="32"/>
          <w:szCs w:val="32"/>
        </w:rPr>
        <w:t>。</w:t>
      </w:r>
    </w:p>
    <w:p w:rsidR="009B775B" w:rsidRDefault="009B775B" w:rsidP="00656C1D">
      <w:pPr>
        <w:widowControl/>
        <w:snapToGrid w:val="0"/>
        <w:spacing w:before="100" w:after="100" w:line="360" w:lineRule="auto"/>
        <w:ind w:firstLineChars="150" w:firstLine="31680"/>
        <w:jc w:val="left"/>
        <w:rPr>
          <w:rFonts w:ascii="方正黑体_GBK" w:eastAsia="方正黑体_GBK" w:hAnsi="方正黑体_GBK" w:cs="方正黑体_GBK"/>
          <w:kern w:val="0"/>
          <w:sz w:val="32"/>
          <w:szCs w:val="32"/>
        </w:rPr>
      </w:pPr>
      <w:r>
        <w:rPr>
          <w:rFonts w:ascii="方正黑体_GBK" w:eastAsia="方正黑体_GBK" w:hAnsi="方正黑体_GBK" w:cs="方正黑体_GBK" w:hint="eastAsia"/>
          <w:kern w:val="0"/>
          <w:sz w:val="32"/>
          <w:szCs w:val="32"/>
        </w:rPr>
        <w:t>（三）名词解释</w:t>
      </w:r>
    </w:p>
    <w:p w:rsidR="009B775B" w:rsidRDefault="009B775B">
      <w:pPr>
        <w:pStyle w:val="NormalWeb"/>
        <w:widowControl/>
        <w:spacing w:beforeAutospacing="0" w:after="225" w:afterAutospacing="0" w:line="360" w:lineRule="atLeast"/>
        <w:jc w:val="both"/>
        <w:rPr>
          <w:rFonts w:ascii="Times New Roman" w:eastAsia="方正仿宋_GBK" w:hAnsi="Times New Roman"/>
          <w:sz w:val="32"/>
          <w:szCs w:val="32"/>
        </w:rPr>
      </w:pPr>
      <w:r>
        <w:rPr>
          <w:rFonts w:ascii="Times New Roman" w:eastAsia="方正仿宋_GBK" w:hAnsi="Times New Roman"/>
          <w:sz w:val="32"/>
          <w:szCs w:val="32"/>
        </w:rPr>
        <w:t>1.</w:t>
      </w:r>
      <w:r>
        <w:rPr>
          <w:rStyle w:val="Strong"/>
          <w:rFonts w:ascii="Times New Roman" w:eastAsia="方正仿宋_GBK" w:hAnsi="Times New Roman" w:hint="eastAsia"/>
          <w:b w:val="0"/>
          <w:color w:val="000000"/>
          <w:sz w:val="32"/>
          <w:szCs w:val="32"/>
        </w:rPr>
        <w:t>财政拨款（补助）收入</w:t>
      </w:r>
      <w:r>
        <w:rPr>
          <w:rFonts w:ascii="Times New Roman" w:eastAsia="方正仿宋_GBK" w:hAnsi="Times New Roman" w:hint="eastAsia"/>
          <w:color w:val="000000"/>
          <w:sz w:val="32"/>
          <w:szCs w:val="32"/>
        </w:rPr>
        <w:t>指财政部门当年拨付的资金。</w:t>
      </w:r>
      <w:r>
        <w:rPr>
          <w:rFonts w:ascii="Times New Roman" w:eastAsia="方正仿宋_GBK" w:hAnsi="Times New Roman"/>
          <w:color w:val="000000"/>
          <w:sz w:val="32"/>
          <w:szCs w:val="32"/>
        </w:rPr>
        <w:t xml:space="preserve"> </w:t>
      </w:r>
    </w:p>
    <w:p w:rsidR="009B775B" w:rsidRDefault="009B775B">
      <w:pPr>
        <w:pStyle w:val="NormalWeb"/>
        <w:widowControl/>
        <w:spacing w:beforeAutospacing="0" w:after="225" w:afterAutospacing="0" w:line="360" w:lineRule="atLeast"/>
        <w:jc w:val="both"/>
        <w:rPr>
          <w:rFonts w:ascii="Times New Roman" w:eastAsia="方正仿宋_GBK" w:hAnsi="Times New Roman"/>
          <w:sz w:val="32"/>
          <w:szCs w:val="32"/>
        </w:rPr>
      </w:pPr>
      <w:r>
        <w:rPr>
          <w:rStyle w:val="Strong"/>
          <w:rFonts w:ascii="Times New Roman" w:eastAsia="方正仿宋_GBK" w:hAnsi="Times New Roman"/>
          <w:b w:val="0"/>
          <w:bCs/>
          <w:color w:val="000000"/>
          <w:sz w:val="32"/>
          <w:szCs w:val="32"/>
        </w:rPr>
        <w:t>2.</w:t>
      </w:r>
      <w:r>
        <w:rPr>
          <w:rStyle w:val="Strong"/>
          <w:rFonts w:ascii="Times New Roman" w:eastAsia="方正仿宋_GBK" w:hAnsi="Times New Roman" w:hint="eastAsia"/>
          <w:b w:val="0"/>
          <w:bCs/>
          <w:color w:val="000000"/>
          <w:sz w:val="32"/>
          <w:szCs w:val="32"/>
        </w:rPr>
        <w:t>事业收入</w:t>
      </w:r>
      <w:r>
        <w:rPr>
          <w:rFonts w:ascii="Times New Roman" w:eastAsia="方正仿宋_GBK" w:hAnsi="Times New Roman" w:hint="eastAsia"/>
          <w:color w:val="000000"/>
          <w:sz w:val="32"/>
          <w:szCs w:val="32"/>
        </w:rPr>
        <w:t>指事业单位开展业务活动取得的收入。</w:t>
      </w:r>
    </w:p>
    <w:p w:rsidR="009B775B" w:rsidRDefault="009B775B">
      <w:pPr>
        <w:pStyle w:val="NormalWeb"/>
        <w:widowControl/>
        <w:spacing w:beforeAutospacing="0" w:after="225" w:afterAutospacing="0" w:line="360" w:lineRule="atLeast"/>
        <w:jc w:val="both"/>
        <w:rPr>
          <w:rFonts w:ascii="Times New Roman" w:eastAsia="方正仿宋_GBK" w:hAnsi="Times New Roman"/>
          <w:sz w:val="32"/>
          <w:szCs w:val="32"/>
        </w:rPr>
      </w:pPr>
      <w:r>
        <w:rPr>
          <w:rStyle w:val="Strong"/>
          <w:rFonts w:ascii="Times New Roman" w:eastAsia="方正仿宋_GBK" w:hAnsi="Times New Roman"/>
          <w:b w:val="0"/>
          <w:bCs/>
          <w:color w:val="000000"/>
          <w:sz w:val="32"/>
          <w:szCs w:val="32"/>
        </w:rPr>
        <w:t>3.</w:t>
      </w:r>
      <w:r>
        <w:rPr>
          <w:rStyle w:val="Strong"/>
          <w:rFonts w:ascii="Times New Roman" w:eastAsia="方正仿宋_GBK" w:hAnsi="Times New Roman" w:hint="eastAsia"/>
          <w:b w:val="0"/>
          <w:bCs/>
          <w:color w:val="000000"/>
          <w:sz w:val="32"/>
          <w:szCs w:val="32"/>
        </w:rPr>
        <w:t>事业单位经营收入</w:t>
      </w:r>
      <w:r>
        <w:rPr>
          <w:rFonts w:ascii="Times New Roman" w:eastAsia="方正仿宋_GBK" w:hAnsi="Times New Roman" w:hint="eastAsia"/>
          <w:color w:val="000000"/>
          <w:sz w:val="32"/>
          <w:szCs w:val="32"/>
        </w:rPr>
        <w:t>指事业单位在业务活动之外开展非独立核算经营活动取得的收入。</w:t>
      </w:r>
      <w:r>
        <w:rPr>
          <w:rFonts w:ascii="Times New Roman" w:eastAsia="方正仿宋_GBK" w:hAnsi="Times New Roman"/>
          <w:color w:val="000000"/>
          <w:sz w:val="32"/>
          <w:szCs w:val="32"/>
        </w:rPr>
        <w:t xml:space="preserve"> </w:t>
      </w:r>
    </w:p>
    <w:p w:rsidR="009B775B" w:rsidRDefault="009B775B">
      <w:pPr>
        <w:pStyle w:val="NormalWeb"/>
        <w:widowControl/>
        <w:spacing w:beforeAutospacing="0" w:after="225" w:afterAutospacing="0" w:line="360" w:lineRule="atLeast"/>
        <w:jc w:val="both"/>
        <w:rPr>
          <w:rFonts w:ascii="Times New Roman" w:eastAsia="方正仿宋_GBK" w:hAnsi="Times New Roman"/>
          <w:color w:val="000000"/>
          <w:sz w:val="32"/>
          <w:szCs w:val="32"/>
        </w:rPr>
      </w:pPr>
      <w:r>
        <w:rPr>
          <w:rStyle w:val="Strong"/>
          <w:rFonts w:ascii="Times New Roman" w:eastAsia="方正仿宋_GBK" w:hAnsi="Times New Roman"/>
          <w:b w:val="0"/>
          <w:bCs/>
          <w:color w:val="000000"/>
          <w:sz w:val="32"/>
          <w:szCs w:val="32"/>
        </w:rPr>
        <w:t>4.</w:t>
      </w:r>
      <w:r>
        <w:rPr>
          <w:rStyle w:val="Strong"/>
          <w:rFonts w:ascii="Times New Roman" w:eastAsia="方正仿宋_GBK" w:hAnsi="Times New Roman" w:hint="eastAsia"/>
          <w:b w:val="0"/>
          <w:bCs/>
          <w:color w:val="000000"/>
          <w:sz w:val="32"/>
          <w:szCs w:val="32"/>
        </w:rPr>
        <w:t>其他收入</w:t>
      </w:r>
      <w:r>
        <w:rPr>
          <w:rFonts w:ascii="Times New Roman" w:eastAsia="方正仿宋_GBK" w:hAnsi="Times New Roman" w:hint="eastAsia"/>
          <w:color w:val="000000"/>
          <w:sz w:val="32"/>
          <w:szCs w:val="32"/>
        </w:rPr>
        <w:t>指预算单位在</w:t>
      </w:r>
      <w:r>
        <w:rPr>
          <w:rFonts w:ascii="Times New Roman" w:eastAsia="方正仿宋_GBK" w:hAnsi="Times New Roman"/>
          <w:color w:val="000000"/>
          <w:sz w:val="32"/>
          <w:szCs w:val="32"/>
        </w:rPr>
        <w:t>“</w:t>
      </w:r>
      <w:r>
        <w:rPr>
          <w:rFonts w:ascii="Times New Roman" w:eastAsia="方正仿宋_GBK" w:hAnsi="Times New Roman" w:hint="eastAsia"/>
          <w:color w:val="000000"/>
          <w:sz w:val="32"/>
          <w:szCs w:val="32"/>
        </w:rPr>
        <w:t>财政拨款收入</w:t>
      </w:r>
      <w:r>
        <w:rPr>
          <w:rFonts w:ascii="Times New Roman" w:eastAsia="方正仿宋_GBK" w:hAnsi="Times New Roman"/>
          <w:color w:val="000000"/>
          <w:sz w:val="32"/>
          <w:szCs w:val="32"/>
        </w:rPr>
        <w:t>”</w:t>
      </w:r>
      <w:r>
        <w:rPr>
          <w:rFonts w:ascii="Times New Roman" w:eastAsia="方正仿宋_GBK" w:hAnsi="Times New Roman" w:hint="eastAsia"/>
          <w:color w:val="000000"/>
          <w:sz w:val="32"/>
          <w:szCs w:val="32"/>
        </w:rPr>
        <w:t>、</w:t>
      </w:r>
      <w:r>
        <w:rPr>
          <w:rFonts w:ascii="Times New Roman" w:eastAsia="方正仿宋_GBK" w:hAnsi="Times New Roman"/>
          <w:color w:val="000000"/>
          <w:sz w:val="32"/>
          <w:szCs w:val="32"/>
        </w:rPr>
        <w:t>“</w:t>
      </w:r>
      <w:r>
        <w:rPr>
          <w:rFonts w:ascii="Times New Roman" w:eastAsia="方正仿宋_GBK" w:hAnsi="Times New Roman" w:hint="eastAsia"/>
          <w:color w:val="000000"/>
          <w:sz w:val="32"/>
          <w:szCs w:val="32"/>
        </w:rPr>
        <w:t>事业收入</w:t>
      </w:r>
      <w:r>
        <w:rPr>
          <w:rFonts w:ascii="Times New Roman" w:eastAsia="方正仿宋_GBK" w:hAnsi="Times New Roman"/>
          <w:color w:val="000000"/>
          <w:sz w:val="32"/>
          <w:szCs w:val="32"/>
        </w:rPr>
        <w:t>”</w:t>
      </w:r>
      <w:r>
        <w:rPr>
          <w:rFonts w:ascii="Times New Roman" w:eastAsia="方正仿宋_GBK" w:hAnsi="Times New Roman" w:hint="eastAsia"/>
          <w:color w:val="000000"/>
          <w:sz w:val="32"/>
          <w:szCs w:val="32"/>
        </w:rPr>
        <w:t>、</w:t>
      </w:r>
      <w:r>
        <w:rPr>
          <w:rFonts w:ascii="Times New Roman" w:eastAsia="方正仿宋_GBK" w:hAnsi="Times New Roman"/>
          <w:color w:val="000000"/>
          <w:sz w:val="32"/>
          <w:szCs w:val="32"/>
        </w:rPr>
        <w:t>“</w:t>
      </w:r>
      <w:r>
        <w:rPr>
          <w:rFonts w:ascii="Times New Roman" w:eastAsia="方正仿宋_GBK" w:hAnsi="Times New Roman" w:hint="eastAsia"/>
          <w:color w:val="000000"/>
          <w:sz w:val="32"/>
          <w:szCs w:val="32"/>
        </w:rPr>
        <w:t>经营收入</w:t>
      </w:r>
      <w:r>
        <w:rPr>
          <w:rFonts w:ascii="Times New Roman" w:eastAsia="方正仿宋_GBK" w:hAnsi="Times New Roman"/>
          <w:color w:val="000000"/>
          <w:sz w:val="32"/>
          <w:szCs w:val="32"/>
        </w:rPr>
        <w:t>”</w:t>
      </w:r>
      <w:r>
        <w:rPr>
          <w:rFonts w:ascii="Times New Roman" w:eastAsia="方正仿宋_GBK" w:hAnsi="Times New Roman" w:hint="eastAsia"/>
          <w:color w:val="000000"/>
          <w:sz w:val="32"/>
          <w:szCs w:val="32"/>
        </w:rPr>
        <w:t>之外取得的收入。</w:t>
      </w:r>
      <w:r>
        <w:rPr>
          <w:rFonts w:ascii="Times New Roman" w:eastAsia="方正仿宋_GBK" w:hAnsi="Times New Roman"/>
          <w:color w:val="000000"/>
          <w:sz w:val="32"/>
          <w:szCs w:val="32"/>
        </w:rPr>
        <w:t xml:space="preserve"> </w:t>
      </w:r>
    </w:p>
    <w:p w:rsidR="009B775B" w:rsidRDefault="009B775B">
      <w:pPr>
        <w:pStyle w:val="NormalWeb"/>
        <w:widowControl/>
        <w:spacing w:beforeAutospacing="0" w:after="225" w:afterAutospacing="0" w:line="360" w:lineRule="atLeast"/>
        <w:jc w:val="both"/>
        <w:rPr>
          <w:rFonts w:ascii="Times New Roman" w:eastAsia="方正仿宋_GBK" w:hAnsi="Times New Roman"/>
          <w:color w:val="000000"/>
          <w:sz w:val="32"/>
          <w:szCs w:val="32"/>
        </w:rPr>
      </w:pPr>
      <w:r>
        <w:rPr>
          <w:rStyle w:val="Strong"/>
          <w:rFonts w:ascii="Times New Roman" w:eastAsia="方正仿宋_GBK" w:hAnsi="Times New Roman"/>
          <w:b w:val="0"/>
          <w:bCs/>
          <w:color w:val="000000"/>
          <w:sz w:val="32"/>
          <w:szCs w:val="32"/>
        </w:rPr>
        <w:t>5.</w:t>
      </w:r>
      <w:r>
        <w:rPr>
          <w:rStyle w:val="Strong"/>
          <w:rFonts w:ascii="Times New Roman" w:eastAsia="方正仿宋_GBK" w:hAnsi="Times New Roman" w:hint="eastAsia"/>
          <w:b w:val="0"/>
          <w:bCs/>
          <w:color w:val="000000"/>
          <w:sz w:val="32"/>
          <w:szCs w:val="32"/>
        </w:rPr>
        <w:t>基本支出</w:t>
      </w:r>
      <w:r>
        <w:rPr>
          <w:rFonts w:ascii="Times New Roman" w:eastAsia="方正仿宋_GBK" w:hAnsi="Times New Roman" w:hint="eastAsia"/>
          <w:color w:val="000000"/>
          <w:sz w:val="32"/>
          <w:szCs w:val="32"/>
        </w:rPr>
        <w:t>指为保障机构正常运转、完成日常工作任务而发生的人员支出和公用支出。</w:t>
      </w:r>
    </w:p>
    <w:p w:rsidR="009B775B" w:rsidRDefault="009B775B">
      <w:pPr>
        <w:pStyle w:val="NormalWeb"/>
        <w:widowControl/>
        <w:spacing w:beforeAutospacing="0" w:after="225" w:afterAutospacing="0" w:line="360" w:lineRule="atLeast"/>
        <w:jc w:val="both"/>
        <w:rPr>
          <w:rFonts w:ascii="Times New Roman" w:eastAsia="方正仿宋_GBK" w:hAnsi="Times New Roman"/>
          <w:color w:val="000000"/>
          <w:sz w:val="32"/>
          <w:szCs w:val="32"/>
        </w:rPr>
      </w:pPr>
      <w:r>
        <w:rPr>
          <w:rStyle w:val="Strong"/>
          <w:rFonts w:ascii="Times New Roman" w:eastAsia="方正仿宋_GBK" w:hAnsi="Times New Roman"/>
          <w:b w:val="0"/>
          <w:bCs/>
          <w:color w:val="000000"/>
          <w:sz w:val="32"/>
          <w:szCs w:val="32"/>
        </w:rPr>
        <w:t>6.</w:t>
      </w:r>
      <w:r>
        <w:rPr>
          <w:rStyle w:val="Strong"/>
          <w:rFonts w:ascii="Times New Roman" w:eastAsia="方正仿宋_GBK" w:hAnsi="Times New Roman" w:hint="eastAsia"/>
          <w:b w:val="0"/>
          <w:bCs/>
          <w:color w:val="000000"/>
          <w:sz w:val="32"/>
          <w:szCs w:val="32"/>
        </w:rPr>
        <w:t>项目支出</w:t>
      </w:r>
      <w:r>
        <w:rPr>
          <w:rFonts w:ascii="Times New Roman" w:eastAsia="方正仿宋_GBK" w:hAnsi="Times New Roman" w:hint="eastAsia"/>
          <w:color w:val="000000"/>
          <w:sz w:val="32"/>
          <w:szCs w:val="32"/>
        </w:rPr>
        <w:t>指在基本支出之外为完成相关行政任务和事业发展目标所发生的支出。</w:t>
      </w:r>
      <w:r>
        <w:rPr>
          <w:rFonts w:ascii="Times New Roman" w:eastAsia="方正仿宋_GBK" w:hAnsi="Times New Roman"/>
          <w:color w:val="000000"/>
          <w:sz w:val="32"/>
          <w:szCs w:val="32"/>
        </w:rPr>
        <w:t xml:space="preserve"> </w:t>
      </w:r>
    </w:p>
    <w:p w:rsidR="009B775B" w:rsidRDefault="009B775B">
      <w:pPr>
        <w:widowControl/>
        <w:snapToGrid w:val="0"/>
        <w:spacing w:before="100" w:after="100" w:line="360" w:lineRule="auto"/>
        <w:ind w:firstLine="600"/>
        <w:jc w:val="left"/>
        <w:rPr>
          <w:rFonts w:ascii="Times New Roman" w:eastAsia="方正仿宋_GBK" w:hAnsi="Times New Roman"/>
          <w:sz w:val="32"/>
          <w:szCs w:val="32"/>
        </w:rPr>
      </w:pPr>
      <w:r>
        <w:rPr>
          <w:rFonts w:ascii="Times New Roman" w:eastAsia="方正仿宋_GBK" w:hAnsi="Times New Roman"/>
          <w:sz w:val="32"/>
          <w:szCs w:val="32"/>
        </w:rPr>
        <w:t>7.</w:t>
      </w:r>
      <w:r>
        <w:rPr>
          <w:rFonts w:ascii="Times New Roman" w:eastAsia="方正仿宋_GBK" w:hAnsi="Times New Roman" w:hint="eastAsia"/>
          <w:sz w:val="32"/>
          <w:szCs w:val="32"/>
        </w:rPr>
        <w:t>机关运行经费指行政单位和参照公务员法管理的事业单位使用一般公共预算财政拨款安排的基本支出中的日常公用经费支出。</w:t>
      </w:r>
      <w:r>
        <w:rPr>
          <w:rFonts w:ascii="Times New Roman" w:eastAsia="方正仿宋_GBK" w:hAnsi="Times New Roman" w:hint="eastAsia"/>
          <w:color w:val="000000"/>
          <w:sz w:val="32"/>
          <w:szCs w:val="32"/>
        </w:rPr>
        <w:t>包括办公及印刷费、邮电费、差旅费、会议费、福利费、日常维修费、专用材料及一般设备购置费、办公用房水电费、办公用房取暖费、办公用房物业管理费、公务用车运行维护费以及其他费用。</w:t>
      </w:r>
    </w:p>
    <w:p w:rsidR="009B775B" w:rsidRDefault="009B775B" w:rsidP="00656C1D">
      <w:pPr>
        <w:widowControl/>
        <w:snapToGrid w:val="0"/>
        <w:spacing w:before="100" w:after="100" w:line="360" w:lineRule="auto"/>
        <w:ind w:firstLineChars="200" w:firstLine="31680"/>
        <w:jc w:val="left"/>
        <w:rPr>
          <w:rFonts w:ascii="Times New Roman" w:eastAsia="方正仿宋_GBK" w:hAnsi="Times New Roman"/>
          <w:sz w:val="32"/>
          <w:szCs w:val="32"/>
        </w:rPr>
      </w:pPr>
      <w:r>
        <w:rPr>
          <w:rFonts w:ascii="Times New Roman" w:eastAsia="方正仿宋_GBK" w:hAnsi="Times New Roman"/>
          <w:sz w:val="32"/>
          <w:szCs w:val="32"/>
        </w:rPr>
        <w:t>8.“</w:t>
      </w:r>
      <w:r>
        <w:rPr>
          <w:rFonts w:ascii="Times New Roman" w:eastAsia="方正仿宋_GBK" w:hAnsi="Times New Roman" w:hint="eastAsia"/>
          <w:sz w:val="32"/>
          <w:szCs w:val="32"/>
        </w:rPr>
        <w:t>三公</w:t>
      </w:r>
      <w:r>
        <w:rPr>
          <w:rFonts w:ascii="Times New Roman" w:eastAsia="方正仿宋_GBK" w:hAnsi="Times New Roman"/>
          <w:sz w:val="32"/>
          <w:szCs w:val="32"/>
        </w:rPr>
        <w:t>”</w:t>
      </w:r>
      <w:r>
        <w:rPr>
          <w:rFonts w:ascii="Times New Roman" w:eastAsia="方正仿宋_GBK" w:hAnsi="Times New Roman" w:hint="eastAsia"/>
          <w:sz w:val="32"/>
          <w:szCs w:val="32"/>
        </w:rPr>
        <w:t>经费包括因公出国（境）费、公务用车购置及运行费、公务接待费。其中：因公出国（境）费，指单位工作人员公务出国（境）的住宿费、旅费、伙食补助费、杂费、培训费等支出；公务用车购置及运行费，指单位公务用车购置费及租用费、燃料费、维修费、过路过桥费、保险费、安全奖励费用等支出，公务用车指用于履行公务的机动车辆，包括省部级干部专车、一般公务用车和执法执勤用车；公务接待费，指单位按规定开支的各类公务接待（含外宾接待）支出。</w:t>
      </w:r>
    </w:p>
    <w:p w:rsidR="009B775B" w:rsidRDefault="009B775B" w:rsidP="00656C1D">
      <w:pPr>
        <w:widowControl/>
        <w:snapToGrid w:val="0"/>
        <w:spacing w:before="100" w:after="100" w:line="360" w:lineRule="auto"/>
        <w:ind w:firstLineChars="200" w:firstLine="31680"/>
        <w:jc w:val="left"/>
        <w:rPr>
          <w:rFonts w:ascii="Times New Roman" w:eastAsia="方正仿宋_GBK" w:hAnsi="Times New Roman"/>
          <w:sz w:val="32"/>
          <w:szCs w:val="32"/>
        </w:rPr>
      </w:pPr>
      <w:r>
        <w:rPr>
          <w:rFonts w:ascii="Times New Roman" w:eastAsia="方正仿宋_GBK" w:hAnsi="Times New Roman"/>
          <w:sz w:val="32"/>
          <w:szCs w:val="32"/>
        </w:rPr>
        <w:t>9.</w:t>
      </w:r>
      <w:r>
        <w:rPr>
          <w:rFonts w:ascii="Times New Roman" w:eastAsia="方正仿宋_GBK" w:hAnsi="Times New Roman" w:hint="eastAsia"/>
          <w:sz w:val="32"/>
          <w:szCs w:val="32"/>
        </w:rPr>
        <w:t>一般公共预算是对以税收为主体的财政收入，安排用于保障和改善民生、推动经济社会发展、维护国家安全、维护国家机构正常运转等方面的收支预算。</w:t>
      </w:r>
    </w:p>
    <w:p w:rsidR="009B775B" w:rsidRDefault="009B775B" w:rsidP="00656C1D">
      <w:pPr>
        <w:widowControl/>
        <w:snapToGrid w:val="0"/>
        <w:spacing w:before="100" w:after="100" w:line="360" w:lineRule="auto"/>
        <w:ind w:firstLineChars="200" w:firstLine="31680"/>
        <w:jc w:val="left"/>
        <w:rPr>
          <w:rFonts w:ascii="Times New Roman" w:eastAsia="方正仿宋_GBK" w:hAnsi="Times New Roman"/>
          <w:sz w:val="32"/>
          <w:szCs w:val="32"/>
        </w:rPr>
      </w:pPr>
      <w:r>
        <w:rPr>
          <w:rFonts w:ascii="Times New Roman" w:eastAsia="方正仿宋_GBK" w:hAnsi="Times New Roman"/>
          <w:sz w:val="32"/>
          <w:szCs w:val="32"/>
        </w:rPr>
        <w:t>10.</w:t>
      </w:r>
      <w:r>
        <w:rPr>
          <w:rFonts w:ascii="Times New Roman" w:eastAsia="方正仿宋_GBK" w:hAnsi="Times New Roman" w:hint="eastAsia"/>
          <w:sz w:val="32"/>
          <w:szCs w:val="32"/>
        </w:rPr>
        <w:t>非税收入是各级政府及其所属部门和单位依法利用行政权力、政府信誉、国家资源、国有资产或提供特定公共服务征收、收取、提取、募集的除税收和政府债务收入以外的财政收入。</w:t>
      </w:r>
    </w:p>
    <w:p w:rsidR="009B775B" w:rsidRDefault="009B775B" w:rsidP="00656C1D">
      <w:pPr>
        <w:widowControl/>
        <w:snapToGrid w:val="0"/>
        <w:spacing w:before="100" w:after="100" w:line="360" w:lineRule="auto"/>
        <w:ind w:firstLineChars="200" w:firstLine="31680"/>
        <w:jc w:val="left"/>
        <w:rPr>
          <w:rFonts w:ascii="Times New Roman" w:eastAsia="方正仿宋_GBK" w:hAnsi="Times New Roman"/>
          <w:sz w:val="32"/>
          <w:szCs w:val="32"/>
        </w:rPr>
      </w:pPr>
      <w:r>
        <w:rPr>
          <w:rFonts w:ascii="Times New Roman" w:eastAsia="方正仿宋_GBK" w:hAnsi="Times New Roman"/>
          <w:sz w:val="32"/>
          <w:szCs w:val="32"/>
        </w:rPr>
        <w:t>11.</w:t>
      </w:r>
      <w:r>
        <w:rPr>
          <w:rFonts w:ascii="Times New Roman" w:eastAsia="方正仿宋_GBK" w:hAnsi="Times New Roman" w:hint="eastAsia"/>
          <w:sz w:val="32"/>
          <w:szCs w:val="32"/>
        </w:rPr>
        <w:t>工资福利支出反映单位开支的在职职工和编制外长期聘用人员的各类劳动报酬，以及为上述人员缴纳的各项社会保险费等。</w:t>
      </w:r>
    </w:p>
    <w:p w:rsidR="009B775B" w:rsidRDefault="009B775B" w:rsidP="00656C1D">
      <w:pPr>
        <w:widowControl/>
        <w:snapToGrid w:val="0"/>
        <w:spacing w:before="100" w:after="100" w:line="360" w:lineRule="auto"/>
        <w:ind w:firstLineChars="200" w:firstLine="31680"/>
        <w:jc w:val="left"/>
        <w:rPr>
          <w:rFonts w:ascii="Times New Roman" w:eastAsia="方正仿宋_GBK" w:hAnsi="Times New Roman"/>
          <w:sz w:val="32"/>
          <w:szCs w:val="32"/>
        </w:rPr>
      </w:pPr>
      <w:r>
        <w:rPr>
          <w:rFonts w:ascii="Times New Roman" w:eastAsia="方正仿宋_GBK" w:hAnsi="Times New Roman"/>
          <w:sz w:val="32"/>
          <w:szCs w:val="32"/>
        </w:rPr>
        <w:t>12.</w:t>
      </w:r>
      <w:r>
        <w:rPr>
          <w:rFonts w:ascii="Times New Roman" w:eastAsia="方正仿宋_GBK" w:hAnsi="Times New Roman" w:hint="eastAsia"/>
          <w:sz w:val="32"/>
          <w:szCs w:val="32"/>
        </w:rPr>
        <w:t>商品和服务支出反映单位购买商品和服务的支出（不包括用于购置固定资产的支出、战略性和应急储备支出）。</w:t>
      </w:r>
    </w:p>
    <w:p w:rsidR="009B775B" w:rsidRDefault="009B775B" w:rsidP="00656C1D">
      <w:pPr>
        <w:widowControl/>
        <w:snapToGrid w:val="0"/>
        <w:spacing w:before="100" w:after="100" w:line="360" w:lineRule="auto"/>
        <w:ind w:firstLineChars="200" w:firstLine="31680"/>
        <w:jc w:val="left"/>
        <w:rPr>
          <w:rFonts w:ascii="Times New Roman" w:eastAsia="方正仿宋_GBK" w:hAnsi="Times New Roman"/>
          <w:sz w:val="32"/>
          <w:szCs w:val="32"/>
        </w:rPr>
      </w:pPr>
      <w:r>
        <w:rPr>
          <w:rFonts w:ascii="Times New Roman" w:eastAsia="方正仿宋_GBK" w:hAnsi="Times New Roman"/>
          <w:sz w:val="32"/>
          <w:szCs w:val="32"/>
        </w:rPr>
        <w:t>13.</w:t>
      </w:r>
      <w:r>
        <w:rPr>
          <w:rFonts w:ascii="Times New Roman" w:eastAsia="方正仿宋_GBK" w:hAnsi="Times New Roman" w:hint="eastAsia"/>
          <w:sz w:val="32"/>
          <w:szCs w:val="32"/>
        </w:rPr>
        <w:t>对个人和家庭的补助反映政府用于对个人和家庭的补助支出。</w:t>
      </w:r>
    </w:p>
    <w:p w:rsidR="009B775B" w:rsidRDefault="009B775B" w:rsidP="00656C1D">
      <w:pPr>
        <w:widowControl/>
        <w:snapToGrid w:val="0"/>
        <w:spacing w:before="100" w:after="100" w:line="360" w:lineRule="auto"/>
        <w:ind w:firstLineChars="200" w:firstLine="31680"/>
        <w:jc w:val="left"/>
        <w:rPr>
          <w:rFonts w:ascii="Times New Roman" w:eastAsia="方正仿宋_GBK" w:hAnsi="Times New Roman"/>
          <w:kern w:val="0"/>
          <w:sz w:val="32"/>
          <w:szCs w:val="32"/>
        </w:rPr>
      </w:pPr>
      <w:r>
        <w:rPr>
          <w:rFonts w:ascii="Times New Roman" w:eastAsia="方正仿宋_GBK" w:hAnsi="Times New Roman"/>
          <w:sz w:val="32"/>
          <w:szCs w:val="32"/>
        </w:rPr>
        <w:t>14.</w:t>
      </w:r>
      <w:r>
        <w:rPr>
          <w:rFonts w:ascii="Times New Roman" w:eastAsia="方正仿宋_GBK" w:hAnsi="Times New Roman" w:hint="eastAsia"/>
          <w:sz w:val="32"/>
          <w:szCs w:val="32"/>
        </w:rPr>
        <w:t>政府采购是指各级国家机关、事业单位和团体组织，使用财政性资金采购依法制定的集中采购目录以内的或者采购限额标准以上的货物、工程和服务的行为。</w:t>
      </w:r>
      <w:bookmarkStart w:id="0" w:name="_GoBack"/>
      <w:bookmarkEnd w:id="0"/>
    </w:p>
    <w:p w:rsidR="009B775B" w:rsidRDefault="009B775B">
      <w:pPr>
        <w:rPr>
          <w:rFonts w:ascii="Times New Roman" w:eastAsia="方正仿宋_GBK" w:hAnsi="Times New Roman"/>
          <w:sz w:val="32"/>
          <w:szCs w:val="32"/>
        </w:rPr>
      </w:pPr>
    </w:p>
    <w:sectPr w:rsidR="009B775B" w:rsidSect="00074DAD">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775B" w:rsidRDefault="009B775B" w:rsidP="00074DAD">
      <w:r>
        <w:separator/>
      </w:r>
    </w:p>
  </w:endnote>
  <w:endnote w:type="continuationSeparator" w:id="1">
    <w:p w:rsidR="009B775B" w:rsidRDefault="009B775B" w:rsidP="00074D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panose1 w:val="00000000000000000000"/>
    <w:charset w:val="86"/>
    <w:family w:val="script"/>
    <w:notTrueType/>
    <w:pitch w:val="default"/>
    <w:sig w:usb0="00000001" w:usb1="080E0000" w:usb2="00000010" w:usb3="00000000" w:csb0="00040000" w:csb1="00000000"/>
  </w:font>
  <w:font w:name="方正黑体_GBK">
    <w:altName w:val="Arial Unicode MS"/>
    <w:panose1 w:val="00000000000000000000"/>
    <w:charset w:val="86"/>
    <w:family w:val="auto"/>
    <w:notTrueType/>
    <w:pitch w:val="default"/>
    <w:sig w:usb0="00000001" w:usb1="080E0000" w:usb2="00000010" w:usb3="00000000" w:csb0="00040000" w:csb1="00000000"/>
  </w:font>
  <w:font w:name="方正仿宋_GBK">
    <w:altName w:val="Arial Unicode MS"/>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75B" w:rsidRDefault="009B77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775B" w:rsidRDefault="009B775B" w:rsidP="00074DAD">
      <w:r>
        <w:separator/>
      </w:r>
    </w:p>
  </w:footnote>
  <w:footnote w:type="continuationSeparator" w:id="1">
    <w:p w:rsidR="009B775B" w:rsidRDefault="009B775B" w:rsidP="00074D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75B" w:rsidRDefault="009B775B">
    <w:pPr>
      <w:pStyle w:val="Header"/>
      <w:pBdr>
        <w:top w:val="none" w:sz="0" w:space="0" w:color="auto"/>
        <w:left w:val="none" w:sz="0" w:space="0" w:color="auto"/>
        <w:bottom w:val="none" w:sz="0" w:space="0" w:color="auto"/>
        <w:right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F9C2DE"/>
    <w:multiLevelType w:val="singleLevel"/>
    <w:tmpl w:val="59F9C2DE"/>
    <w:lvl w:ilvl="0">
      <w:start w:val="2"/>
      <w:numFmt w:val="chineseCounting"/>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AF62DDC"/>
    <w:rsid w:val="00074DAD"/>
    <w:rsid w:val="000E0ABA"/>
    <w:rsid w:val="001D1FCA"/>
    <w:rsid w:val="00401BF5"/>
    <w:rsid w:val="00656C1D"/>
    <w:rsid w:val="00726676"/>
    <w:rsid w:val="00737070"/>
    <w:rsid w:val="007C4872"/>
    <w:rsid w:val="00855AE2"/>
    <w:rsid w:val="00973508"/>
    <w:rsid w:val="009B775B"/>
    <w:rsid w:val="00C13427"/>
    <w:rsid w:val="00DC4728"/>
    <w:rsid w:val="00E904D8"/>
    <w:rsid w:val="00F02F7A"/>
    <w:rsid w:val="00FC706F"/>
    <w:rsid w:val="236567A0"/>
    <w:rsid w:val="2BEE3D88"/>
    <w:rsid w:val="30607584"/>
    <w:rsid w:val="3AF62DDC"/>
    <w:rsid w:val="3B7B21B7"/>
    <w:rsid w:val="77F86B51"/>
    <w:rsid w:val="79F83B50"/>
    <w:rsid w:val="7E1E265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DAD"/>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74DAD"/>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sid w:val="00FC706F"/>
    <w:rPr>
      <w:rFonts w:cs="Times New Roman"/>
      <w:sz w:val="18"/>
      <w:szCs w:val="18"/>
    </w:rPr>
  </w:style>
  <w:style w:type="paragraph" w:styleId="Header">
    <w:name w:val="header"/>
    <w:basedOn w:val="Normal"/>
    <w:link w:val="HeaderChar"/>
    <w:uiPriority w:val="99"/>
    <w:rsid w:val="00074DA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FC706F"/>
    <w:rPr>
      <w:rFonts w:cs="Times New Roman"/>
      <w:sz w:val="18"/>
      <w:szCs w:val="18"/>
    </w:rPr>
  </w:style>
  <w:style w:type="paragraph" w:styleId="NormalWeb">
    <w:name w:val="Normal (Web)"/>
    <w:basedOn w:val="Normal"/>
    <w:uiPriority w:val="99"/>
    <w:rsid w:val="00074DAD"/>
    <w:pPr>
      <w:spacing w:beforeAutospacing="1" w:afterAutospacing="1"/>
      <w:ind w:firstLine="420"/>
      <w:jc w:val="left"/>
    </w:pPr>
    <w:rPr>
      <w:kern w:val="0"/>
      <w:sz w:val="24"/>
    </w:rPr>
  </w:style>
  <w:style w:type="character" w:styleId="Strong">
    <w:name w:val="Strong"/>
    <w:basedOn w:val="DefaultParagraphFont"/>
    <w:uiPriority w:val="99"/>
    <w:qFormat/>
    <w:rsid w:val="00074DAD"/>
    <w:rPr>
      <w:rFonts w:cs="Times New Roman"/>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4</Pages>
  <Words>167</Words>
  <Characters>952</Characters>
  <Application>Microsoft Office Outlook</Application>
  <DocSecurity>0</DocSecurity>
  <Lines>0</Lines>
  <Paragraphs>0</Paragraphs>
  <ScaleCrop>false</ScaleCrop>
  <Company>德宏州盈江县党政机关单位</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盈江县***2017年部门预算</dc:title>
  <dc:subject/>
  <dc:creator>盈江县财政局</dc:creator>
  <cp:keywords/>
  <dc:description/>
  <cp:lastModifiedBy>xsj</cp:lastModifiedBy>
  <cp:revision>5</cp:revision>
  <cp:lastPrinted>2017-11-01T13:36:00Z</cp:lastPrinted>
  <dcterms:created xsi:type="dcterms:W3CDTF">2017-11-20T06:52:00Z</dcterms:created>
  <dcterms:modified xsi:type="dcterms:W3CDTF">2017-11-21T01:39:00Z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