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  <w:t>德宏州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  <w:t>贯彻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  <w:t>“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  <w:t>十四五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  <w:t>”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4"/>
          <w:szCs w:val="34"/>
          <w:lang w:val="en-US" w:eastAsia="zh-CN" w:bidi="ar"/>
        </w:rPr>
        <w:t>市场监管现代化规划主要指标</w:t>
      </w:r>
    </w:p>
    <w:tbl>
      <w:tblPr>
        <w:tblStyle w:val="3"/>
        <w:tblW w:w="9950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50"/>
        <w:gridCol w:w="3734"/>
        <w:gridCol w:w="1166"/>
        <w:gridCol w:w="1167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  <w:t>指标名称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2020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2025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  <w:lang w:val="en-US" w:eastAsia="zh-CN" w:bidi="ar"/>
              </w:rPr>
              <w:t>属性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4"/>
                <w:szCs w:val="3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营商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环境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市场主体总数（万户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12.54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21.29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市场主体活跃度（%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―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企业开办平均时间（天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知识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产权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每万人口高价值发明专利拥有量（件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0.08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0.31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有效注册商标拥有量（万件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0.9456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1.32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知识产权案件民事一审服判息诉率（%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监管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食品评价性抽检合格率（%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98.5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农产品和食品抽检量（批次/千人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药品、医疗器械、化妆品抽检合格率（%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重点工业产品质量监督抽查合格率（%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―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供给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质量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政府质量工作公众满意度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（分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71.77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设施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建设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级最高计量标准（个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主导或参与制定国际、国家及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行业标准（项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体系认证证书保有量（个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检验检测从业机构（个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预期性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消费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消费投诉按期办结率（%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96.5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约束性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举报按期核查率（%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约束性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F0738"/>
    <w:rsid w:val="146F0738"/>
    <w:rsid w:val="16B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2023-01-11T00:53:00Z</dcterms:created>
  <dc:creator>gkb</dc:creator>
  <cp:lastModifiedBy>gkb</cp:lastModifiedBy>
  <dcterms:modified xsi:type="dcterms:W3CDTF">2023-01-11T00:54:22Z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