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3F432">
      <w:pPr>
        <w:adjustRightInd w:val="0"/>
        <w:snapToGrid w:val="0"/>
        <w:spacing w:line="520" w:lineRule="exact"/>
        <w:rPr>
          <w:rFonts w:ascii="黑体" w:hAnsi="黑体" w:eastAsia="黑体"/>
          <w:color w:val="000000"/>
          <w:sz w:val="32"/>
          <w:szCs w:val="32"/>
        </w:rPr>
        <w:sectPr>
          <w:footerReference r:id="rId3" w:type="default"/>
          <w:footerReference r:id="rId4" w:type="even"/>
          <w:pgSz w:w="16838" w:h="11906" w:orient="landscape"/>
          <w:pgMar w:top="1800" w:right="1440" w:bottom="1800" w:left="1440" w:header="851" w:footer="992" w:gutter="0"/>
          <w:cols w:space="720" w:num="1"/>
          <w:docGrid w:type="lines" w:linePitch="312" w:charSpace="0"/>
        </w:sectPr>
      </w:pPr>
      <w:r>
        <w:rPr>
          <w:rFonts w:hint="eastAsia" w:ascii="黑体" w:hAnsi="黑体" w:eastAsia="黑体"/>
          <w:color w:val="000000"/>
          <w:sz w:val="32"/>
          <w:szCs w:val="32"/>
        </w:rPr>
        <w:t>附件</w:t>
      </w:r>
    </w:p>
    <w:p w14:paraId="42586F33">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2021年德宏州政务公开工作要点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135"/>
        <w:gridCol w:w="1298"/>
        <w:gridCol w:w="9413"/>
        <w:gridCol w:w="2225"/>
      </w:tblGrid>
      <w:tr w14:paraId="1FAE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1032" w:type="dxa"/>
            <w:noWrap w:val="0"/>
            <w:vAlign w:val="center"/>
          </w:tcPr>
          <w:p w14:paraId="579972B0">
            <w:pPr>
              <w:widowControl/>
              <w:spacing w:line="400" w:lineRule="exact"/>
              <w:jc w:val="center"/>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序号</w:t>
            </w:r>
          </w:p>
        </w:tc>
        <w:tc>
          <w:tcPr>
            <w:tcW w:w="2433" w:type="dxa"/>
            <w:gridSpan w:val="2"/>
            <w:noWrap w:val="0"/>
            <w:vAlign w:val="center"/>
          </w:tcPr>
          <w:p w14:paraId="45E85CCD">
            <w:pPr>
              <w:widowControl/>
              <w:spacing w:line="400" w:lineRule="exact"/>
              <w:jc w:val="center"/>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工作任务</w:t>
            </w:r>
          </w:p>
        </w:tc>
        <w:tc>
          <w:tcPr>
            <w:tcW w:w="9413" w:type="dxa"/>
            <w:noWrap w:val="0"/>
            <w:vAlign w:val="center"/>
          </w:tcPr>
          <w:p w14:paraId="6F94142B">
            <w:pPr>
              <w:widowControl/>
              <w:spacing w:line="400" w:lineRule="exact"/>
              <w:jc w:val="center"/>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具体要求</w:t>
            </w:r>
          </w:p>
        </w:tc>
        <w:tc>
          <w:tcPr>
            <w:tcW w:w="2225" w:type="dxa"/>
            <w:noWrap w:val="0"/>
            <w:vAlign w:val="center"/>
          </w:tcPr>
          <w:p w14:paraId="1FDC28A0">
            <w:pPr>
              <w:widowControl/>
              <w:spacing w:line="400" w:lineRule="exact"/>
              <w:jc w:val="center"/>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责任单位</w:t>
            </w:r>
          </w:p>
        </w:tc>
      </w:tr>
      <w:tr w14:paraId="19E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2" w:type="dxa"/>
            <w:noWrap w:val="0"/>
            <w:vAlign w:val="center"/>
          </w:tcPr>
          <w:p w14:paraId="6475BE63">
            <w:pPr>
              <w:spacing w:line="400" w:lineRule="exact"/>
              <w:jc w:val="center"/>
              <w:rPr>
                <w:rFonts w:eastAsia="方正仿宋_GBK"/>
                <w:szCs w:val="21"/>
              </w:rPr>
            </w:pPr>
            <w:r>
              <w:rPr>
                <w:rFonts w:eastAsia="方正仿宋_GBK"/>
                <w:szCs w:val="21"/>
              </w:rPr>
              <w:t>1</w:t>
            </w:r>
          </w:p>
        </w:tc>
        <w:tc>
          <w:tcPr>
            <w:tcW w:w="1135" w:type="dxa"/>
            <w:noWrap w:val="0"/>
            <w:vAlign w:val="center"/>
          </w:tcPr>
          <w:p w14:paraId="7B01A37F">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409EBAD3">
            <w:pPr>
              <w:spacing w:line="400" w:lineRule="exact"/>
              <w:jc w:val="left"/>
              <w:rPr>
                <w:rFonts w:eastAsia="方正仿宋_GBK"/>
                <w:szCs w:val="21"/>
              </w:rPr>
            </w:pPr>
            <w:r>
              <w:rPr>
                <w:rFonts w:eastAsia="方正仿宋_GBK"/>
                <w:szCs w:val="21"/>
              </w:rPr>
              <w:t>推进各类规划主动公开</w:t>
            </w:r>
          </w:p>
        </w:tc>
        <w:tc>
          <w:tcPr>
            <w:tcW w:w="9413" w:type="dxa"/>
            <w:noWrap w:val="0"/>
            <w:vAlign w:val="center"/>
          </w:tcPr>
          <w:p w14:paraId="2A3341DF">
            <w:pPr>
              <w:spacing w:line="400" w:lineRule="exact"/>
              <w:rPr>
                <w:rFonts w:eastAsia="方正仿宋_GBK"/>
                <w:szCs w:val="21"/>
              </w:rPr>
            </w:pPr>
            <w:r>
              <w:rPr>
                <w:rFonts w:eastAsia="方正仿宋_GBK"/>
                <w:szCs w:val="21"/>
              </w:rPr>
              <w:t>县级以上政府及其部门要按照“谁牵头编制，谁主动公开”的原则，公开本县市“十四五”规划纲要和国土空间规划、专项规划、区域规划及配套政策措施等，做好本县市本部门历史规划（计划）的归集整理和主动公开工作。州政府门户网站开设专题，汇集发布各县市“十四五”规划纲要和州级其他规划，全面展示全州规划体系，方便社会公众查询、监督。</w:t>
            </w:r>
          </w:p>
        </w:tc>
        <w:tc>
          <w:tcPr>
            <w:tcW w:w="2225" w:type="dxa"/>
            <w:noWrap w:val="0"/>
            <w:vAlign w:val="center"/>
          </w:tcPr>
          <w:p w14:paraId="607F2510">
            <w:pPr>
              <w:spacing w:line="400" w:lineRule="exact"/>
              <w:rPr>
                <w:rFonts w:eastAsia="方正仿宋_GBK"/>
                <w:szCs w:val="21"/>
              </w:rPr>
            </w:pPr>
            <w:r>
              <w:rPr>
                <w:rFonts w:eastAsia="方正仿宋_GBK"/>
                <w:szCs w:val="21"/>
              </w:rPr>
              <w:t>州政府办公室、州发展改革委、州自然资源和规划局牵头；州直有关部门，各县、市人民政府按照职责分工负责</w:t>
            </w:r>
          </w:p>
        </w:tc>
      </w:tr>
      <w:tr w14:paraId="3CCB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1032" w:type="dxa"/>
            <w:noWrap w:val="0"/>
            <w:vAlign w:val="center"/>
          </w:tcPr>
          <w:p w14:paraId="46456632">
            <w:pPr>
              <w:spacing w:line="400" w:lineRule="exact"/>
              <w:jc w:val="center"/>
              <w:rPr>
                <w:rFonts w:eastAsia="方正仿宋_GBK"/>
                <w:szCs w:val="21"/>
              </w:rPr>
            </w:pPr>
            <w:r>
              <w:rPr>
                <w:rFonts w:eastAsia="方正仿宋_GBK"/>
                <w:szCs w:val="21"/>
              </w:rPr>
              <w:t>2</w:t>
            </w:r>
          </w:p>
        </w:tc>
        <w:tc>
          <w:tcPr>
            <w:tcW w:w="1135" w:type="dxa"/>
            <w:noWrap w:val="0"/>
            <w:vAlign w:val="center"/>
          </w:tcPr>
          <w:p w14:paraId="472467B8">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41025717">
            <w:pPr>
              <w:spacing w:line="400" w:lineRule="exact"/>
              <w:jc w:val="left"/>
              <w:rPr>
                <w:rFonts w:eastAsia="方正仿宋_GBK"/>
                <w:szCs w:val="21"/>
              </w:rPr>
            </w:pPr>
            <w:r>
              <w:rPr>
                <w:rFonts w:eastAsia="方正仿宋_GBK"/>
                <w:szCs w:val="21"/>
              </w:rPr>
              <w:t>推进重大建设项目批准和实施领域信息公开</w:t>
            </w:r>
          </w:p>
        </w:tc>
        <w:tc>
          <w:tcPr>
            <w:tcW w:w="9413" w:type="dxa"/>
            <w:noWrap w:val="0"/>
            <w:vAlign w:val="center"/>
          </w:tcPr>
          <w:p w14:paraId="0683A952">
            <w:pPr>
              <w:spacing w:line="400" w:lineRule="exact"/>
              <w:rPr>
                <w:rFonts w:eastAsia="方正仿宋_GBK"/>
                <w:szCs w:val="21"/>
              </w:rPr>
            </w:pPr>
            <w:r>
              <w:rPr>
                <w:rFonts w:eastAsia="方正仿宋_GBK"/>
                <w:szCs w:val="21"/>
              </w:rPr>
              <w:t>各级政府行业主管部门要将重大建设项目批准和实施领域信息纳入政府信息公开基本目录，严格按照《云南省人民政府办公</w:t>
            </w:r>
            <w:r>
              <w:rPr>
                <w:rFonts w:hint="eastAsia" w:eastAsia="方正仿宋_GBK"/>
                <w:szCs w:val="21"/>
                <w:lang w:eastAsia="zh-CN"/>
              </w:rPr>
              <w:t>厅</w:t>
            </w:r>
            <w:bookmarkStart w:id="0" w:name="_GoBack"/>
            <w:bookmarkEnd w:id="0"/>
            <w:r>
              <w:rPr>
                <w:rFonts w:eastAsia="方正仿宋_GBK"/>
                <w:szCs w:val="21"/>
              </w:rPr>
              <w:t>关于推进重大建设项目批准和实施领域政府信息公开的实施意见》（云政办发〔2018〕58号）和《德宏州人民政府办公室关于推进重大建设项目批准和实施领域政府信息公开的实施意见》（德政办发〔2018〕64号）有关要求，依托云南省投资项目在线审批监管平台、公共资源交易平台、政府网站和信用类专项网站等，依法依规全面、主动、及时公开有关重大建设项目在审批或核准、备案、实施、评估和后续监管过程中所产生的信息。推动政府和社会资本合作（PPP）项目的信息公开，按照国家有关要求，及时向社会公开项目的基本情况及推进进度等有关信息，接受社会监督。将重大建设项目批准和实施领域政府信息公开作为政务公开工作年度考核重要内容，加大考核力度。</w:t>
            </w:r>
          </w:p>
        </w:tc>
        <w:tc>
          <w:tcPr>
            <w:tcW w:w="2225" w:type="dxa"/>
            <w:noWrap w:val="0"/>
            <w:vAlign w:val="center"/>
          </w:tcPr>
          <w:p w14:paraId="35598DAE">
            <w:pPr>
              <w:spacing w:line="400" w:lineRule="exact"/>
              <w:rPr>
                <w:rFonts w:eastAsia="方正仿宋_GBK"/>
                <w:szCs w:val="21"/>
              </w:rPr>
            </w:pPr>
            <w:r>
              <w:rPr>
                <w:rFonts w:eastAsia="方正仿宋_GBK"/>
                <w:szCs w:val="21"/>
              </w:rPr>
              <w:t>州发展改革委、州财政局牵头；州直有关部门，各县、市人民政府按照职责分工负责</w:t>
            </w:r>
          </w:p>
        </w:tc>
      </w:tr>
      <w:tr w14:paraId="3BEE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032" w:type="dxa"/>
            <w:noWrap w:val="0"/>
            <w:vAlign w:val="center"/>
          </w:tcPr>
          <w:p w14:paraId="4E59D6A1">
            <w:pPr>
              <w:spacing w:line="400" w:lineRule="exact"/>
              <w:jc w:val="center"/>
              <w:rPr>
                <w:rFonts w:eastAsia="方正仿宋_GBK"/>
                <w:szCs w:val="21"/>
              </w:rPr>
            </w:pPr>
            <w:r>
              <w:rPr>
                <w:rFonts w:eastAsia="方正仿宋_GBK"/>
                <w:szCs w:val="21"/>
              </w:rPr>
              <w:t>3</w:t>
            </w:r>
          </w:p>
        </w:tc>
        <w:tc>
          <w:tcPr>
            <w:tcW w:w="1135" w:type="dxa"/>
            <w:noWrap w:val="0"/>
            <w:vAlign w:val="center"/>
          </w:tcPr>
          <w:p w14:paraId="660118BD">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40A00CCC">
            <w:pPr>
              <w:spacing w:line="400" w:lineRule="exact"/>
              <w:jc w:val="left"/>
              <w:rPr>
                <w:rFonts w:eastAsia="方正仿宋_GBK"/>
                <w:szCs w:val="21"/>
              </w:rPr>
            </w:pPr>
            <w:r>
              <w:rPr>
                <w:rFonts w:eastAsia="方正仿宋_GBK"/>
                <w:szCs w:val="21"/>
              </w:rPr>
              <w:t>推进财政领域信息公开</w:t>
            </w:r>
          </w:p>
        </w:tc>
        <w:tc>
          <w:tcPr>
            <w:tcW w:w="9413" w:type="dxa"/>
            <w:noWrap w:val="0"/>
            <w:vAlign w:val="center"/>
          </w:tcPr>
          <w:p w14:paraId="67EF6670">
            <w:pPr>
              <w:spacing w:line="400" w:lineRule="exact"/>
              <w:rPr>
                <w:rFonts w:eastAsia="方正仿宋_GBK"/>
                <w:szCs w:val="21"/>
              </w:rPr>
            </w:pPr>
            <w:r>
              <w:rPr>
                <w:rFonts w:eastAsia="方正仿宋_GBK"/>
                <w:szCs w:val="21"/>
              </w:rPr>
              <w:t>依法依规稳步推动地方政府债务信息公开，通过集中统一平台定期公开地方政府债务限额、余额，地方政府债券发行、项目、还本付息、重大事项、存续期管理，以及经济社会发展指标、财政状况等有关信息。进一步扩大预决算公开范围，推进部门所属单位预算、决算及有关报表公开。加大惠民惠农政策和资金发放信息公开力度，及时公开财政资金直达基层有关信息，推动补贴信息公开向村和社区延伸。持续做好行政事业性收费和政府性基金目录清单常态化更新公开工作。依法规范政府采购信息公开。</w:t>
            </w:r>
          </w:p>
        </w:tc>
        <w:tc>
          <w:tcPr>
            <w:tcW w:w="2225" w:type="dxa"/>
            <w:noWrap w:val="0"/>
            <w:vAlign w:val="center"/>
          </w:tcPr>
          <w:p w14:paraId="7A1D973E">
            <w:pPr>
              <w:spacing w:line="400" w:lineRule="exact"/>
              <w:rPr>
                <w:rFonts w:eastAsia="方正仿宋_GBK"/>
                <w:szCs w:val="21"/>
              </w:rPr>
            </w:pPr>
            <w:r>
              <w:rPr>
                <w:rFonts w:eastAsia="方正仿宋_GBK"/>
                <w:szCs w:val="21"/>
              </w:rPr>
              <w:t>州财政局牵头；州直有关部门，各县、市人民政府按照职责分工负责</w:t>
            </w:r>
          </w:p>
        </w:tc>
      </w:tr>
      <w:tr w14:paraId="153A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032" w:type="dxa"/>
            <w:noWrap w:val="0"/>
            <w:vAlign w:val="center"/>
          </w:tcPr>
          <w:p w14:paraId="65C2811A">
            <w:pPr>
              <w:spacing w:line="400" w:lineRule="exact"/>
              <w:jc w:val="center"/>
              <w:rPr>
                <w:rFonts w:eastAsia="方正仿宋_GBK"/>
                <w:szCs w:val="21"/>
              </w:rPr>
            </w:pPr>
            <w:r>
              <w:rPr>
                <w:rFonts w:eastAsia="方正仿宋_GBK"/>
                <w:szCs w:val="21"/>
              </w:rPr>
              <w:t>4</w:t>
            </w:r>
          </w:p>
        </w:tc>
        <w:tc>
          <w:tcPr>
            <w:tcW w:w="1135" w:type="dxa"/>
            <w:noWrap w:val="0"/>
            <w:vAlign w:val="center"/>
          </w:tcPr>
          <w:p w14:paraId="14195FD2">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67C37214">
            <w:pPr>
              <w:spacing w:line="400" w:lineRule="exact"/>
              <w:jc w:val="left"/>
              <w:rPr>
                <w:rFonts w:eastAsia="方正仿宋_GBK"/>
                <w:szCs w:val="21"/>
              </w:rPr>
            </w:pPr>
            <w:r>
              <w:rPr>
                <w:rFonts w:eastAsia="方正仿宋_GBK"/>
                <w:szCs w:val="21"/>
              </w:rPr>
              <w:t>推进公共卫生领域信息公开</w:t>
            </w:r>
          </w:p>
        </w:tc>
        <w:tc>
          <w:tcPr>
            <w:tcW w:w="9413" w:type="dxa"/>
            <w:noWrap w:val="0"/>
            <w:vAlign w:val="center"/>
          </w:tcPr>
          <w:p w14:paraId="0F7B238C">
            <w:pPr>
              <w:spacing w:line="400" w:lineRule="exact"/>
              <w:rPr>
                <w:rFonts w:eastAsia="方正仿宋_GBK"/>
                <w:szCs w:val="21"/>
              </w:rPr>
            </w:pPr>
            <w:r>
              <w:rPr>
                <w:rFonts w:eastAsia="方正仿宋_GBK"/>
                <w:szCs w:val="21"/>
              </w:rPr>
              <w:t>围绕新冠肺炎疫情常态化防控工作，重点做好散发疫情、隔离管控、流调溯源、精准防控、冷链物流、假期人员流动、疫苗接种等信息公开工作。进一步提高新冠肺炎疫情防控信息发布规范化水平，发布社会关注的重大政策、内容敏感的重要信息前，加强统筹协调，在实事求是的前提下，强化政府系统内部信息整合，统一步调对外发声。积极做好爱国卫生“7个专项行动”、健康云南行动等工作的信息公开，加大公共卫生知识普及力度。</w:t>
            </w:r>
          </w:p>
        </w:tc>
        <w:tc>
          <w:tcPr>
            <w:tcW w:w="2225" w:type="dxa"/>
            <w:noWrap w:val="0"/>
            <w:vAlign w:val="center"/>
          </w:tcPr>
          <w:p w14:paraId="6DD028AE">
            <w:pPr>
              <w:spacing w:line="400" w:lineRule="exact"/>
              <w:rPr>
                <w:rFonts w:eastAsia="方正仿宋_GBK"/>
                <w:szCs w:val="21"/>
              </w:rPr>
            </w:pPr>
            <w:r>
              <w:rPr>
                <w:rFonts w:eastAsia="方正仿宋_GBK"/>
                <w:szCs w:val="21"/>
              </w:rPr>
              <w:t>州卫生健康委牵头；州直有关部门，各县、市人民政府按照职责分工负责</w:t>
            </w:r>
          </w:p>
        </w:tc>
      </w:tr>
      <w:tr w14:paraId="6497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032" w:type="dxa"/>
            <w:noWrap w:val="0"/>
            <w:vAlign w:val="center"/>
          </w:tcPr>
          <w:p w14:paraId="3EE602FB">
            <w:pPr>
              <w:spacing w:line="400" w:lineRule="exact"/>
              <w:jc w:val="center"/>
              <w:rPr>
                <w:rFonts w:eastAsia="方正仿宋_GBK"/>
                <w:szCs w:val="21"/>
              </w:rPr>
            </w:pPr>
            <w:r>
              <w:rPr>
                <w:rFonts w:eastAsia="方正仿宋_GBK"/>
                <w:szCs w:val="21"/>
              </w:rPr>
              <w:t>5</w:t>
            </w:r>
          </w:p>
        </w:tc>
        <w:tc>
          <w:tcPr>
            <w:tcW w:w="1135" w:type="dxa"/>
            <w:noWrap w:val="0"/>
            <w:vAlign w:val="center"/>
          </w:tcPr>
          <w:p w14:paraId="7B242541">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1B46DAE8">
            <w:pPr>
              <w:spacing w:line="400" w:lineRule="exact"/>
              <w:jc w:val="left"/>
              <w:rPr>
                <w:rFonts w:eastAsia="方正仿宋_GBK"/>
                <w:szCs w:val="21"/>
              </w:rPr>
            </w:pPr>
            <w:r>
              <w:rPr>
                <w:rFonts w:eastAsia="方正仿宋_GBK"/>
                <w:szCs w:val="21"/>
              </w:rPr>
              <w:t>推进市场监管领域信息公开</w:t>
            </w:r>
          </w:p>
        </w:tc>
        <w:tc>
          <w:tcPr>
            <w:tcW w:w="9413" w:type="dxa"/>
            <w:noWrap w:val="0"/>
            <w:vAlign w:val="center"/>
          </w:tcPr>
          <w:p w14:paraId="2A93D3CE">
            <w:pPr>
              <w:spacing w:line="400" w:lineRule="exact"/>
              <w:rPr>
                <w:rFonts w:eastAsia="方正仿宋_GBK"/>
                <w:szCs w:val="21"/>
              </w:rPr>
            </w:pPr>
            <w:r>
              <w:rPr>
                <w:rFonts w:eastAsia="方正仿宋_GBK"/>
                <w:szCs w:val="21"/>
              </w:rPr>
              <w:t>主动公开统一的市场准入负面清单并根据调整情况及时更新，严格落实“双随机、一公开”和行政执法公示制度、行政执法全过程记录制度、重大行政执法决定法制审核制度等规定要求，推进监管执法信息公开。及时公开建设高标准市场体系行动方案的落实举措，加强反垄断与反不正当竞争执法信息公开工作。</w:t>
            </w:r>
          </w:p>
        </w:tc>
        <w:tc>
          <w:tcPr>
            <w:tcW w:w="2225" w:type="dxa"/>
            <w:noWrap w:val="0"/>
            <w:vAlign w:val="center"/>
          </w:tcPr>
          <w:p w14:paraId="20D3207E">
            <w:pPr>
              <w:spacing w:line="400" w:lineRule="exact"/>
              <w:rPr>
                <w:rFonts w:eastAsia="方正仿宋_GBK"/>
                <w:szCs w:val="21"/>
              </w:rPr>
            </w:pPr>
            <w:r>
              <w:rPr>
                <w:rFonts w:eastAsia="方正仿宋_GBK"/>
                <w:szCs w:val="21"/>
              </w:rPr>
              <w:t>州发展改革委、州司法局、州商务局、州市场监管局牵头；州直有关部门，各县、市人民政府按照职责分工负责</w:t>
            </w:r>
          </w:p>
        </w:tc>
      </w:tr>
      <w:tr w14:paraId="595F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032" w:type="dxa"/>
            <w:noWrap w:val="0"/>
            <w:vAlign w:val="center"/>
          </w:tcPr>
          <w:p w14:paraId="17417081">
            <w:pPr>
              <w:spacing w:line="400" w:lineRule="exact"/>
              <w:jc w:val="center"/>
              <w:rPr>
                <w:rFonts w:eastAsia="方正仿宋_GBK"/>
                <w:szCs w:val="21"/>
              </w:rPr>
            </w:pPr>
            <w:r>
              <w:rPr>
                <w:rFonts w:eastAsia="方正仿宋_GBK"/>
                <w:szCs w:val="21"/>
              </w:rPr>
              <w:t>6</w:t>
            </w:r>
          </w:p>
        </w:tc>
        <w:tc>
          <w:tcPr>
            <w:tcW w:w="1135" w:type="dxa"/>
            <w:noWrap w:val="0"/>
            <w:vAlign w:val="center"/>
          </w:tcPr>
          <w:p w14:paraId="429992EA">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71806A6C">
            <w:pPr>
              <w:spacing w:line="400" w:lineRule="exact"/>
              <w:jc w:val="left"/>
              <w:rPr>
                <w:rFonts w:eastAsia="方正仿宋_GBK"/>
                <w:szCs w:val="21"/>
              </w:rPr>
            </w:pPr>
            <w:r>
              <w:rPr>
                <w:rFonts w:eastAsia="方正仿宋_GBK"/>
                <w:szCs w:val="21"/>
              </w:rPr>
              <w:t>推进生态环境领域信息公开</w:t>
            </w:r>
          </w:p>
        </w:tc>
        <w:tc>
          <w:tcPr>
            <w:tcW w:w="9413" w:type="dxa"/>
            <w:noWrap w:val="0"/>
            <w:vAlign w:val="center"/>
          </w:tcPr>
          <w:p w14:paraId="73EE0754">
            <w:pPr>
              <w:spacing w:line="400" w:lineRule="exact"/>
              <w:rPr>
                <w:rFonts w:eastAsia="方正仿宋_GBK"/>
                <w:szCs w:val="21"/>
              </w:rPr>
            </w:pPr>
            <w:r>
              <w:rPr>
                <w:rFonts w:eastAsia="方正仿宋_GBK"/>
                <w:szCs w:val="21"/>
              </w:rPr>
              <w:t>围绕空气质量、水环境质量、土壤污染防治和自然生态保护等内容，持续加大信息公开和解读力度。及时公开建设项目环境影响评价、污染源监测、环境监管执法、核与辐射监管、突发环境事件等环境监管类信息。持续做好中央和省级生态环境保护督察情况和发现问题整改情况的公开工作。</w:t>
            </w:r>
          </w:p>
        </w:tc>
        <w:tc>
          <w:tcPr>
            <w:tcW w:w="2225" w:type="dxa"/>
            <w:noWrap w:val="0"/>
            <w:vAlign w:val="center"/>
          </w:tcPr>
          <w:p w14:paraId="00AB46C9">
            <w:pPr>
              <w:spacing w:line="400" w:lineRule="exact"/>
              <w:rPr>
                <w:rFonts w:eastAsia="方正仿宋_GBK"/>
                <w:szCs w:val="21"/>
              </w:rPr>
            </w:pPr>
            <w:r>
              <w:rPr>
                <w:rFonts w:eastAsia="方正仿宋_GBK"/>
                <w:szCs w:val="21"/>
              </w:rPr>
              <w:t>州生态环境局牵头；州直有关部门，各县、市人民政府按照职责分工负责</w:t>
            </w:r>
          </w:p>
        </w:tc>
      </w:tr>
      <w:tr w14:paraId="5443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1032" w:type="dxa"/>
            <w:noWrap w:val="0"/>
            <w:vAlign w:val="center"/>
          </w:tcPr>
          <w:p w14:paraId="2B7CBB0D">
            <w:pPr>
              <w:spacing w:line="400" w:lineRule="exact"/>
              <w:jc w:val="center"/>
              <w:rPr>
                <w:rFonts w:eastAsia="方正仿宋_GBK"/>
                <w:szCs w:val="21"/>
              </w:rPr>
            </w:pPr>
            <w:r>
              <w:rPr>
                <w:rFonts w:eastAsia="方正仿宋_GBK"/>
                <w:szCs w:val="21"/>
              </w:rPr>
              <w:t>7</w:t>
            </w:r>
          </w:p>
        </w:tc>
        <w:tc>
          <w:tcPr>
            <w:tcW w:w="1135" w:type="dxa"/>
            <w:noWrap w:val="0"/>
            <w:vAlign w:val="center"/>
          </w:tcPr>
          <w:p w14:paraId="43A56285">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75BD17E9">
            <w:pPr>
              <w:spacing w:line="400" w:lineRule="exact"/>
              <w:jc w:val="left"/>
              <w:rPr>
                <w:rFonts w:eastAsia="方正仿宋_GBK"/>
                <w:szCs w:val="21"/>
              </w:rPr>
            </w:pPr>
            <w:r>
              <w:rPr>
                <w:rFonts w:eastAsia="方正仿宋_GBK"/>
                <w:szCs w:val="21"/>
              </w:rPr>
              <w:t>推进民政保障领域信息公开</w:t>
            </w:r>
          </w:p>
        </w:tc>
        <w:tc>
          <w:tcPr>
            <w:tcW w:w="9413" w:type="dxa"/>
            <w:noWrap w:val="0"/>
            <w:vAlign w:val="center"/>
          </w:tcPr>
          <w:p w14:paraId="63FCC1C4">
            <w:pPr>
              <w:spacing w:line="400" w:lineRule="exact"/>
              <w:rPr>
                <w:rFonts w:eastAsia="方正仿宋_GBK"/>
                <w:szCs w:val="21"/>
              </w:rPr>
            </w:pPr>
            <w:r>
              <w:rPr>
                <w:rFonts w:eastAsia="方正仿宋_GBK"/>
                <w:szCs w:val="21"/>
              </w:rPr>
              <w:t>持续做好促进高校毕业生、退役军人、城镇就业困难人员等群体就业创业的政策措施和就业供求信息公开工作。完善各级各类学校招生考试信息公开，做好义务教育阶段招生入学政策、公办学校划片招生范围及民办学校招生计划、范围、程序和录取结果等信息公开工作，探索开展中小学信息公开事项梳理和公开标准目录编制工作。进一步规范国有土地上房屋征收与补偿领域政府信息公开程序、内容、主体、渠道。加大社会救助、养老服务、保障性住房等信息公开力度。</w:t>
            </w:r>
          </w:p>
        </w:tc>
        <w:tc>
          <w:tcPr>
            <w:tcW w:w="2225" w:type="dxa"/>
            <w:noWrap w:val="0"/>
            <w:vAlign w:val="center"/>
          </w:tcPr>
          <w:p w14:paraId="5DD2D2A2">
            <w:pPr>
              <w:spacing w:line="400" w:lineRule="exact"/>
              <w:rPr>
                <w:rFonts w:eastAsia="方正仿宋_GBK"/>
                <w:szCs w:val="21"/>
              </w:rPr>
            </w:pPr>
            <w:r>
              <w:rPr>
                <w:rFonts w:eastAsia="方正仿宋_GBK"/>
                <w:szCs w:val="21"/>
              </w:rPr>
              <w:t>州教育体育局、州民政局、州人力资源社会保障局、州住房城乡建设局牵头</w:t>
            </w:r>
            <w:r>
              <w:rPr>
                <w:rFonts w:hint="eastAsia" w:eastAsia="方正仿宋_GBK"/>
                <w:szCs w:val="21"/>
              </w:rPr>
              <w:t>、州退役军人事务局</w:t>
            </w:r>
            <w:r>
              <w:rPr>
                <w:rFonts w:eastAsia="方正仿宋_GBK"/>
                <w:szCs w:val="21"/>
              </w:rPr>
              <w:t>；州直有关部门，各县、市人民政府按照职责分工负责</w:t>
            </w:r>
          </w:p>
        </w:tc>
      </w:tr>
      <w:tr w14:paraId="14EA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032" w:type="dxa"/>
            <w:noWrap w:val="0"/>
            <w:vAlign w:val="center"/>
          </w:tcPr>
          <w:p w14:paraId="30C66A00">
            <w:pPr>
              <w:spacing w:line="400" w:lineRule="exact"/>
              <w:jc w:val="center"/>
              <w:rPr>
                <w:rFonts w:eastAsia="方正仿宋_GBK"/>
                <w:szCs w:val="21"/>
              </w:rPr>
            </w:pPr>
            <w:r>
              <w:rPr>
                <w:rFonts w:eastAsia="方正仿宋_GBK"/>
                <w:szCs w:val="21"/>
              </w:rPr>
              <w:t>8</w:t>
            </w:r>
          </w:p>
        </w:tc>
        <w:tc>
          <w:tcPr>
            <w:tcW w:w="1135" w:type="dxa"/>
            <w:noWrap w:val="0"/>
            <w:vAlign w:val="center"/>
          </w:tcPr>
          <w:p w14:paraId="58034865">
            <w:pPr>
              <w:spacing w:line="400" w:lineRule="exact"/>
              <w:jc w:val="left"/>
              <w:rPr>
                <w:rFonts w:eastAsia="方正仿宋_GBK"/>
                <w:szCs w:val="21"/>
              </w:rPr>
            </w:pPr>
            <w:r>
              <w:rPr>
                <w:rFonts w:eastAsia="方正仿宋_GBK"/>
                <w:szCs w:val="21"/>
              </w:rPr>
              <w:t>深化重点领域信息公开</w:t>
            </w:r>
          </w:p>
        </w:tc>
        <w:tc>
          <w:tcPr>
            <w:tcW w:w="1298" w:type="dxa"/>
            <w:noWrap w:val="0"/>
            <w:vAlign w:val="center"/>
          </w:tcPr>
          <w:p w14:paraId="3A505D4D">
            <w:pPr>
              <w:spacing w:line="400" w:lineRule="exact"/>
              <w:jc w:val="left"/>
              <w:rPr>
                <w:rFonts w:eastAsia="方正仿宋_GBK"/>
                <w:szCs w:val="21"/>
              </w:rPr>
            </w:pPr>
            <w:r>
              <w:rPr>
                <w:rFonts w:eastAsia="方正仿宋_GBK"/>
                <w:szCs w:val="21"/>
              </w:rPr>
              <w:t>推进重点领域统计数据公开</w:t>
            </w:r>
          </w:p>
        </w:tc>
        <w:tc>
          <w:tcPr>
            <w:tcW w:w="9413" w:type="dxa"/>
            <w:noWrap w:val="0"/>
            <w:vAlign w:val="center"/>
          </w:tcPr>
          <w:p w14:paraId="5C40E66B">
            <w:pPr>
              <w:spacing w:line="400" w:lineRule="exact"/>
              <w:rPr>
                <w:rFonts w:eastAsia="方正仿宋_GBK"/>
                <w:szCs w:val="21"/>
              </w:rPr>
            </w:pPr>
            <w:r>
              <w:rPr>
                <w:rFonts w:eastAsia="方正仿宋_GBK"/>
                <w:szCs w:val="21"/>
              </w:rPr>
              <w:t>集中规范发布经济、农业、工业、服务业、财政金融、民生保障、教育卫生、自然资源、生态环境、城乡建设、文化旅游、安全生产、自然灾害等社会公众关注度高的统计数据，力争通过图表图解等方式展现和解读。</w:t>
            </w:r>
          </w:p>
        </w:tc>
        <w:tc>
          <w:tcPr>
            <w:tcW w:w="2225" w:type="dxa"/>
            <w:noWrap w:val="0"/>
            <w:vAlign w:val="center"/>
          </w:tcPr>
          <w:p w14:paraId="3F9F2D76">
            <w:pPr>
              <w:spacing w:line="400" w:lineRule="exact"/>
              <w:rPr>
                <w:rFonts w:eastAsia="方正仿宋_GBK"/>
                <w:szCs w:val="21"/>
              </w:rPr>
            </w:pPr>
            <w:r>
              <w:rPr>
                <w:rFonts w:eastAsia="方正仿宋_GBK"/>
                <w:szCs w:val="21"/>
              </w:rPr>
              <w:t>州直有关部门，各县、市人民政府按照职责分工负责</w:t>
            </w:r>
          </w:p>
        </w:tc>
      </w:tr>
      <w:tr w14:paraId="4527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032" w:type="dxa"/>
            <w:noWrap w:val="0"/>
            <w:vAlign w:val="center"/>
          </w:tcPr>
          <w:p w14:paraId="7B2FEACE">
            <w:pPr>
              <w:spacing w:line="400" w:lineRule="exact"/>
              <w:jc w:val="center"/>
              <w:rPr>
                <w:rFonts w:eastAsia="方正仿宋_GBK"/>
                <w:szCs w:val="21"/>
              </w:rPr>
            </w:pPr>
            <w:r>
              <w:rPr>
                <w:rFonts w:eastAsia="方正仿宋_GBK"/>
                <w:szCs w:val="21"/>
              </w:rPr>
              <w:t>9</w:t>
            </w:r>
          </w:p>
        </w:tc>
        <w:tc>
          <w:tcPr>
            <w:tcW w:w="1135" w:type="dxa"/>
            <w:noWrap w:val="0"/>
            <w:vAlign w:val="center"/>
          </w:tcPr>
          <w:p w14:paraId="1B6DE230">
            <w:pPr>
              <w:spacing w:line="400" w:lineRule="exact"/>
              <w:jc w:val="left"/>
              <w:rPr>
                <w:rFonts w:eastAsia="方正仿宋_GBK"/>
                <w:szCs w:val="21"/>
              </w:rPr>
            </w:pPr>
            <w:r>
              <w:rPr>
                <w:rFonts w:eastAsia="方正仿宋_GBK"/>
                <w:szCs w:val="21"/>
              </w:rPr>
              <w:t>加强重要政策发布解读</w:t>
            </w:r>
          </w:p>
        </w:tc>
        <w:tc>
          <w:tcPr>
            <w:tcW w:w="1298" w:type="dxa"/>
            <w:noWrap w:val="0"/>
            <w:vAlign w:val="center"/>
          </w:tcPr>
          <w:p w14:paraId="74697717">
            <w:pPr>
              <w:spacing w:line="400" w:lineRule="exact"/>
              <w:jc w:val="left"/>
              <w:rPr>
                <w:rFonts w:eastAsia="方正仿宋_GBK"/>
                <w:szCs w:val="21"/>
              </w:rPr>
            </w:pPr>
            <w:r>
              <w:rPr>
                <w:rFonts w:eastAsia="方正仿宋_GBK"/>
                <w:szCs w:val="21"/>
              </w:rPr>
              <w:t>加强重要政策发布解读</w:t>
            </w:r>
          </w:p>
        </w:tc>
        <w:tc>
          <w:tcPr>
            <w:tcW w:w="9413" w:type="dxa"/>
            <w:noWrap w:val="0"/>
            <w:vAlign w:val="center"/>
          </w:tcPr>
          <w:p w14:paraId="14E14A27">
            <w:pPr>
              <w:spacing w:line="400" w:lineRule="exact"/>
              <w:rPr>
                <w:rFonts w:eastAsia="方正仿宋_GBK"/>
                <w:szCs w:val="21"/>
              </w:rPr>
            </w:pPr>
            <w:r>
              <w:rPr>
                <w:rFonts w:eastAsia="方正仿宋_GBK"/>
                <w:szCs w:val="21"/>
              </w:rPr>
              <w:t>深入贯彻中央经济工作会议和省委经济工作会议精神以及云南</w:t>
            </w:r>
            <w:r>
              <w:rPr>
                <w:rFonts w:hint="eastAsia" w:eastAsia="方正仿宋_GBK"/>
                <w:szCs w:val="21"/>
              </w:rPr>
              <w:t>省</w:t>
            </w:r>
            <w:r>
              <w:rPr>
                <w:rFonts w:eastAsia="方正仿宋_GBK"/>
                <w:szCs w:val="21"/>
              </w:rPr>
              <w:t>政府工作报告、德宏州政府工作报告要求，坚持“公开为常态、不公开为例外”原则，围绕推进巩固拓展脱贫攻坚成果同乡村振兴有效衔接、全力推动产业强州建设、统筹做好“六稳”“六保”和投资消费工作、加快创新型德宏建设、大力推进基础设施建设、更大力度推进改革开放、推进区域协调发展和新型城镇化、持续抓好污染防治和生态建设、不断改善人民生活品质、牢牢守住安全底线等方面出台的重大政策，及时发布权威信息，对政策背景、出台目的、重要举措等方面进行深度解读，释放更多积极信号，有效引导预期，为实现高质量发展、完成好全年经济社会发展目标任务营造良好的舆论氛围。</w:t>
            </w:r>
          </w:p>
        </w:tc>
        <w:tc>
          <w:tcPr>
            <w:tcW w:w="2225" w:type="dxa"/>
            <w:noWrap w:val="0"/>
            <w:vAlign w:val="center"/>
          </w:tcPr>
          <w:p w14:paraId="0E0597A4">
            <w:pPr>
              <w:spacing w:line="400" w:lineRule="exact"/>
              <w:rPr>
                <w:rFonts w:eastAsia="方正仿宋_GBK"/>
                <w:szCs w:val="21"/>
              </w:rPr>
            </w:pPr>
            <w:r>
              <w:rPr>
                <w:rFonts w:eastAsia="方正仿宋_GBK"/>
                <w:szCs w:val="21"/>
              </w:rPr>
              <w:t>州直有关部门，各县、市人民政府按照职责分工负责</w:t>
            </w:r>
          </w:p>
        </w:tc>
      </w:tr>
      <w:tr w14:paraId="7638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1032" w:type="dxa"/>
            <w:noWrap w:val="0"/>
            <w:vAlign w:val="center"/>
          </w:tcPr>
          <w:p w14:paraId="6F09C17F">
            <w:pPr>
              <w:spacing w:line="400" w:lineRule="exact"/>
              <w:jc w:val="center"/>
              <w:rPr>
                <w:rFonts w:eastAsia="方正仿宋_GBK"/>
                <w:szCs w:val="21"/>
              </w:rPr>
            </w:pPr>
            <w:r>
              <w:rPr>
                <w:rFonts w:eastAsia="方正仿宋_GBK"/>
                <w:szCs w:val="21"/>
              </w:rPr>
              <w:t>10</w:t>
            </w:r>
          </w:p>
        </w:tc>
        <w:tc>
          <w:tcPr>
            <w:tcW w:w="1135" w:type="dxa"/>
            <w:noWrap w:val="0"/>
            <w:vAlign w:val="center"/>
          </w:tcPr>
          <w:p w14:paraId="1B9A5086">
            <w:pPr>
              <w:spacing w:line="400" w:lineRule="exact"/>
              <w:jc w:val="left"/>
              <w:rPr>
                <w:rFonts w:eastAsia="方正仿宋_GBK"/>
                <w:szCs w:val="21"/>
              </w:rPr>
            </w:pPr>
            <w:r>
              <w:rPr>
                <w:rFonts w:eastAsia="方正仿宋_GBK"/>
                <w:szCs w:val="21"/>
              </w:rPr>
              <w:t>加强重要政策发布解读</w:t>
            </w:r>
          </w:p>
        </w:tc>
        <w:tc>
          <w:tcPr>
            <w:tcW w:w="1298" w:type="dxa"/>
            <w:noWrap w:val="0"/>
            <w:vAlign w:val="center"/>
          </w:tcPr>
          <w:p w14:paraId="473470AB">
            <w:pPr>
              <w:spacing w:line="400" w:lineRule="exact"/>
              <w:jc w:val="left"/>
              <w:rPr>
                <w:rFonts w:eastAsia="方正仿宋_GBK"/>
                <w:szCs w:val="21"/>
              </w:rPr>
            </w:pPr>
            <w:r>
              <w:rPr>
                <w:rFonts w:eastAsia="方正仿宋_GBK"/>
                <w:szCs w:val="21"/>
              </w:rPr>
              <w:t>优化政策解读方式与渠道</w:t>
            </w:r>
          </w:p>
        </w:tc>
        <w:tc>
          <w:tcPr>
            <w:tcW w:w="9413" w:type="dxa"/>
            <w:noWrap w:val="0"/>
            <w:vAlign w:val="center"/>
          </w:tcPr>
          <w:p w14:paraId="0A8D015C">
            <w:pPr>
              <w:spacing w:line="400" w:lineRule="exact"/>
              <w:rPr>
                <w:rFonts w:eastAsia="方正仿宋_GBK"/>
                <w:szCs w:val="21"/>
              </w:rPr>
            </w:pPr>
            <w:r>
              <w:rPr>
                <w:rFonts w:eastAsia="方正仿宋_GBK"/>
                <w:szCs w:val="21"/>
              </w:rPr>
              <w:t>严格落实政策解读“三同步”制度，加强政策解读材料质量把关，杜绝简单罗列文件标题、照抄照搬文件等形式化解读，不断提升解读质量和水平。积极运用新闻发布会、专家访谈、图示图解、卡通动漫、短视频等多元化方式开展政策解读，让政策生动活泼、通俗易懂。对涉及面广、社会关注度高的重要政策文件，主动靠前引导，释放权威信息，并协调主要新闻媒体、重点网站和新媒体平台转发转载，提高政策到达率和知晓率。同时，强化政策施行后解读，对政策实施过程中产生的新情况、新问题以及公众普遍存在的疑虑点和关注点，有针对性地进行跟踪解读。少数民族地区可探索运用本民族语言开展政策解读工作，增强解读效果。政策制定机关要加强政策咨询服务，积极解答政策执行机关、企业和群众的咨询，精准传达政策意图；加强对基层政策执行能力的培训，推动基层全面准确把握政策。要依托政务服务便民热线、实体政务服务大</w:t>
            </w:r>
            <w:r>
              <w:rPr>
                <w:rFonts w:hint="eastAsia" w:eastAsia="方正仿宋_GBK"/>
                <w:szCs w:val="21"/>
              </w:rPr>
              <w:t>厅</w:t>
            </w:r>
            <w:r>
              <w:rPr>
                <w:rFonts w:eastAsia="方正仿宋_GBK"/>
                <w:szCs w:val="21"/>
              </w:rPr>
              <w:t>和政府网站，设立政策咨询综合服务窗口，积极为企业和群众提供“一号答”、“一站式”的政策咨询服务，更好打通政策落实“最后一公里”。</w:t>
            </w:r>
          </w:p>
        </w:tc>
        <w:tc>
          <w:tcPr>
            <w:tcW w:w="2225" w:type="dxa"/>
            <w:noWrap w:val="0"/>
            <w:vAlign w:val="center"/>
          </w:tcPr>
          <w:p w14:paraId="25A4954C">
            <w:pPr>
              <w:spacing w:line="400" w:lineRule="exact"/>
              <w:rPr>
                <w:rFonts w:eastAsia="方正仿宋_GBK"/>
                <w:szCs w:val="21"/>
              </w:rPr>
            </w:pPr>
            <w:r>
              <w:rPr>
                <w:rFonts w:eastAsia="方正仿宋_GBK"/>
                <w:szCs w:val="21"/>
              </w:rPr>
              <w:t>州直有关部门，各县、市人民政府按照职责分工负责</w:t>
            </w:r>
          </w:p>
        </w:tc>
      </w:tr>
      <w:tr w14:paraId="6BA0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1032" w:type="dxa"/>
            <w:noWrap w:val="0"/>
            <w:vAlign w:val="center"/>
          </w:tcPr>
          <w:p w14:paraId="47DD7900">
            <w:pPr>
              <w:spacing w:line="400" w:lineRule="exact"/>
              <w:jc w:val="center"/>
              <w:rPr>
                <w:rFonts w:eastAsia="方正仿宋_GBK"/>
                <w:szCs w:val="21"/>
              </w:rPr>
            </w:pPr>
            <w:r>
              <w:rPr>
                <w:rFonts w:eastAsia="方正仿宋_GBK"/>
                <w:szCs w:val="21"/>
              </w:rPr>
              <w:t>11</w:t>
            </w:r>
          </w:p>
        </w:tc>
        <w:tc>
          <w:tcPr>
            <w:tcW w:w="1135" w:type="dxa"/>
            <w:noWrap w:val="0"/>
            <w:vAlign w:val="center"/>
          </w:tcPr>
          <w:p w14:paraId="11705124">
            <w:pPr>
              <w:spacing w:line="400" w:lineRule="exact"/>
              <w:jc w:val="left"/>
              <w:rPr>
                <w:rFonts w:eastAsia="方正仿宋_GBK"/>
                <w:szCs w:val="21"/>
              </w:rPr>
            </w:pPr>
            <w:r>
              <w:rPr>
                <w:rFonts w:eastAsia="方正仿宋_GBK"/>
                <w:szCs w:val="21"/>
              </w:rPr>
              <w:t>加强重要政策发布解读</w:t>
            </w:r>
          </w:p>
        </w:tc>
        <w:tc>
          <w:tcPr>
            <w:tcW w:w="1298" w:type="dxa"/>
            <w:noWrap w:val="0"/>
            <w:vAlign w:val="center"/>
          </w:tcPr>
          <w:p w14:paraId="6B6C85B8">
            <w:pPr>
              <w:spacing w:line="400" w:lineRule="exact"/>
              <w:jc w:val="left"/>
              <w:rPr>
                <w:rFonts w:eastAsia="方正仿宋_GBK"/>
                <w:szCs w:val="21"/>
              </w:rPr>
            </w:pPr>
            <w:r>
              <w:rPr>
                <w:rFonts w:eastAsia="方正仿宋_GBK"/>
                <w:szCs w:val="21"/>
              </w:rPr>
              <w:t>积极回应社会关切</w:t>
            </w:r>
          </w:p>
        </w:tc>
        <w:tc>
          <w:tcPr>
            <w:tcW w:w="9413" w:type="dxa"/>
            <w:noWrap w:val="0"/>
            <w:vAlign w:val="center"/>
          </w:tcPr>
          <w:p w14:paraId="39977511">
            <w:pPr>
              <w:spacing w:line="400" w:lineRule="exact"/>
              <w:rPr>
                <w:rFonts w:eastAsia="方正仿宋_GBK"/>
                <w:szCs w:val="21"/>
              </w:rPr>
            </w:pPr>
            <w:r>
              <w:rPr>
                <w:rFonts w:eastAsia="方正仿宋_GBK"/>
                <w:szCs w:val="21"/>
              </w:rPr>
              <w:t>健全完善有关部门间沟通、协调联动机制和政务舆情监测、研判、回应流程，充分运用政务服务便民热线、领导信箱、政府网站留言板、政务新媒体、政府信息公开申请等渠道，及时发现社会热点，围绕政务舆情背后的实际问题，以解决问题的具体措施主动回应关切。加强政务舆情回应台账管理，认真核查已作出的承诺落实及公开情况，切实维护政府公信力。密切关注涉及疫情防控、房地产金融、工资拖欠、环境污染和生态破坏、食品药品安全、教育医疗养老、安全生产、困难群众生活等方面的舆情，做到快速反应、正面回应，以权威信息引导社会舆论，维护社会稳定。鼓励采取问卷调查听取企业和群众意见，助力政策完善。</w:t>
            </w:r>
          </w:p>
        </w:tc>
        <w:tc>
          <w:tcPr>
            <w:tcW w:w="2225" w:type="dxa"/>
            <w:noWrap w:val="0"/>
            <w:vAlign w:val="center"/>
          </w:tcPr>
          <w:p w14:paraId="342CEA8B">
            <w:pPr>
              <w:spacing w:line="400" w:lineRule="exact"/>
              <w:rPr>
                <w:rFonts w:eastAsia="方正仿宋_GBK"/>
                <w:szCs w:val="21"/>
              </w:rPr>
            </w:pPr>
            <w:r>
              <w:rPr>
                <w:rFonts w:eastAsia="方正仿宋_GBK"/>
                <w:szCs w:val="21"/>
              </w:rPr>
              <w:t>州直有关部门，各县、市人民政府按照职责分工负责</w:t>
            </w:r>
          </w:p>
        </w:tc>
      </w:tr>
      <w:tr w14:paraId="4C7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032" w:type="dxa"/>
            <w:noWrap w:val="0"/>
            <w:vAlign w:val="center"/>
          </w:tcPr>
          <w:p w14:paraId="15E2753F">
            <w:pPr>
              <w:spacing w:line="400" w:lineRule="exact"/>
              <w:jc w:val="center"/>
              <w:rPr>
                <w:rFonts w:eastAsia="方正仿宋_GBK"/>
                <w:szCs w:val="21"/>
              </w:rPr>
            </w:pPr>
            <w:r>
              <w:rPr>
                <w:rFonts w:eastAsia="方正仿宋_GBK"/>
                <w:szCs w:val="21"/>
              </w:rPr>
              <w:t>12</w:t>
            </w:r>
          </w:p>
        </w:tc>
        <w:tc>
          <w:tcPr>
            <w:tcW w:w="1135" w:type="dxa"/>
            <w:noWrap w:val="0"/>
            <w:vAlign w:val="center"/>
          </w:tcPr>
          <w:p w14:paraId="3B695DBD">
            <w:pPr>
              <w:spacing w:line="400" w:lineRule="exact"/>
              <w:jc w:val="left"/>
              <w:rPr>
                <w:rFonts w:eastAsia="方正仿宋_GBK"/>
                <w:szCs w:val="21"/>
              </w:rPr>
            </w:pPr>
            <w:r>
              <w:rPr>
                <w:rFonts w:eastAsia="方正仿宋_GBK"/>
                <w:szCs w:val="21"/>
              </w:rPr>
              <w:t>加强政务信息管理</w:t>
            </w:r>
          </w:p>
        </w:tc>
        <w:tc>
          <w:tcPr>
            <w:tcW w:w="1298" w:type="dxa"/>
            <w:noWrap w:val="0"/>
            <w:vAlign w:val="center"/>
          </w:tcPr>
          <w:p w14:paraId="68011D2A">
            <w:pPr>
              <w:spacing w:line="400" w:lineRule="exact"/>
              <w:jc w:val="left"/>
              <w:rPr>
                <w:rFonts w:eastAsia="方正仿宋_GBK"/>
                <w:szCs w:val="21"/>
              </w:rPr>
            </w:pPr>
            <w:r>
              <w:rPr>
                <w:rFonts w:eastAsia="方正仿宋_GBK"/>
                <w:szCs w:val="21"/>
              </w:rPr>
              <w:t>加强政务信息管理</w:t>
            </w:r>
          </w:p>
        </w:tc>
        <w:tc>
          <w:tcPr>
            <w:tcW w:w="9413" w:type="dxa"/>
            <w:noWrap w:val="0"/>
            <w:vAlign w:val="center"/>
          </w:tcPr>
          <w:p w14:paraId="2CB21D6B">
            <w:pPr>
              <w:spacing w:line="400" w:lineRule="exact"/>
              <w:rPr>
                <w:rFonts w:eastAsia="方正仿宋_GBK"/>
                <w:szCs w:val="21"/>
              </w:rPr>
            </w:pPr>
            <w:r>
              <w:rPr>
                <w:rFonts w:eastAsia="方正仿宋_GBK"/>
                <w:szCs w:val="21"/>
              </w:rPr>
              <w:t>各县市各部门要对照中国政府法制信息网行政法规库公布的行政法规国家正式版本，及时更新本县市本部门政府网站上引用或登载的行政法规文本。2021年底前，将现行有效规章和行政规范性文件正式版本通过本县市本部门政府网站“政府信息公开平台”集中公开。健全完善政务信息制作、获取、保存、处理等方面的制度，推动政务信息全链条、全生命周期规范管理。</w:t>
            </w:r>
          </w:p>
        </w:tc>
        <w:tc>
          <w:tcPr>
            <w:tcW w:w="2225" w:type="dxa"/>
            <w:noWrap w:val="0"/>
            <w:vAlign w:val="center"/>
          </w:tcPr>
          <w:p w14:paraId="45676340">
            <w:pPr>
              <w:spacing w:line="400" w:lineRule="exact"/>
              <w:rPr>
                <w:rFonts w:eastAsia="方正仿宋_GBK"/>
                <w:szCs w:val="21"/>
              </w:rPr>
            </w:pPr>
            <w:r>
              <w:rPr>
                <w:rFonts w:eastAsia="方正仿宋_GBK"/>
                <w:szCs w:val="21"/>
              </w:rPr>
              <w:t>州司法局牵头；州直有关部门，各县、市人民政府按照职责分工负责</w:t>
            </w:r>
          </w:p>
        </w:tc>
      </w:tr>
      <w:tr w14:paraId="16ED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1032" w:type="dxa"/>
            <w:noWrap w:val="0"/>
            <w:vAlign w:val="center"/>
          </w:tcPr>
          <w:p w14:paraId="79D69493">
            <w:pPr>
              <w:spacing w:line="400" w:lineRule="exact"/>
              <w:jc w:val="center"/>
              <w:rPr>
                <w:rFonts w:eastAsia="方正仿宋_GBK"/>
                <w:szCs w:val="21"/>
              </w:rPr>
            </w:pPr>
            <w:r>
              <w:rPr>
                <w:rFonts w:eastAsia="方正仿宋_GBK"/>
                <w:szCs w:val="21"/>
              </w:rPr>
              <w:t>13</w:t>
            </w:r>
          </w:p>
        </w:tc>
        <w:tc>
          <w:tcPr>
            <w:tcW w:w="1135" w:type="dxa"/>
            <w:noWrap w:val="0"/>
            <w:vAlign w:val="center"/>
          </w:tcPr>
          <w:p w14:paraId="7F59AB6A">
            <w:pPr>
              <w:spacing w:line="400" w:lineRule="exact"/>
              <w:jc w:val="left"/>
              <w:rPr>
                <w:rFonts w:eastAsia="方正仿宋_GBK"/>
                <w:szCs w:val="21"/>
              </w:rPr>
            </w:pPr>
            <w:r>
              <w:rPr>
                <w:rFonts w:eastAsia="方正仿宋_GBK"/>
                <w:szCs w:val="21"/>
              </w:rPr>
              <w:t>加强政务信息管理</w:t>
            </w:r>
          </w:p>
        </w:tc>
        <w:tc>
          <w:tcPr>
            <w:tcW w:w="1298" w:type="dxa"/>
            <w:noWrap w:val="0"/>
            <w:vAlign w:val="center"/>
          </w:tcPr>
          <w:p w14:paraId="46B71232">
            <w:pPr>
              <w:spacing w:line="400" w:lineRule="exact"/>
              <w:jc w:val="left"/>
              <w:rPr>
                <w:rFonts w:eastAsia="方正仿宋_GBK"/>
                <w:szCs w:val="21"/>
              </w:rPr>
            </w:pPr>
            <w:r>
              <w:rPr>
                <w:rFonts w:eastAsia="方正仿宋_GBK"/>
                <w:szCs w:val="21"/>
              </w:rPr>
              <w:t>提升政务公开标准化规范化水平</w:t>
            </w:r>
          </w:p>
        </w:tc>
        <w:tc>
          <w:tcPr>
            <w:tcW w:w="9413" w:type="dxa"/>
            <w:noWrap w:val="0"/>
            <w:vAlign w:val="center"/>
          </w:tcPr>
          <w:p w14:paraId="2CE345EE">
            <w:pPr>
              <w:spacing w:line="400" w:lineRule="exact"/>
              <w:rPr>
                <w:rFonts w:eastAsia="方正仿宋_GBK"/>
                <w:szCs w:val="21"/>
              </w:rPr>
            </w:pPr>
            <w:r>
              <w:rPr>
                <w:rFonts w:eastAsia="方正仿宋_GBK"/>
                <w:szCs w:val="21"/>
              </w:rPr>
              <w:t>州直有关部门要根据职责任务变化对已编制完成的政府信息公开基本目录进行动态更新调整；按照“谁主管、谁负责”原则，根据国家有关主管部门制定的公共企事业单位信息公开规定，及时研究制定教育、卫生健康、供水、供电、供气、生态环境、公共交通等领域实施细则。各基层政府要以群众实际需求为导向，进一步完善26个试点领域政务公开事项标准目录，并根据国家有关部门新出台的其他领域标准指引及时编制本级政务公开事项标准目录。推动政务公开标准化规范化向乡村、社区延伸，指导村（居）民委员会建立完善公开事项清单，以贴近村（居）民生活的适当方式，重点公开乡村振兴、村级财务、惠农政策、养老服务、社会救助等群众关切的信息，方便群众知晓和监督。</w:t>
            </w:r>
          </w:p>
        </w:tc>
        <w:tc>
          <w:tcPr>
            <w:tcW w:w="2225" w:type="dxa"/>
            <w:noWrap w:val="0"/>
            <w:vAlign w:val="center"/>
          </w:tcPr>
          <w:p w14:paraId="58F82BED">
            <w:pPr>
              <w:spacing w:line="400" w:lineRule="exact"/>
              <w:rPr>
                <w:rFonts w:eastAsia="方正仿宋_GBK"/>
                <w:szCs w:val="21"/>
              </w:rPr>
            </w:pPr>
            <w:r>
              <w:rPr>
                <w:rFonts w:eastAsia="方正仿宋_GBK"/>
                <w:szCs w:val="21"/>
              </w:rPr>
              <w:t>州直有关部门，各县、市人民政府按照职责分工负责</w:t>
            </w:r>
          </w:p>
        </w:tc>
      </w:tr>
      <w:tr w14:paraId="3EDB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1032" w:type="dxa"/>
            <w:noWrap w:val="0"/>
            <w:vAlign w:val="center"/>
          </w:tcPr>
          <w:p w14:paraId="5243541D">
            <w:pPr>
              <w:spacing w:line="400" w:lineRule="exact"/>
              <w:jc w:val="center"/>
              <w:rPr>
                <w:rFonts w:eastAsia="方正仿宋_GBK"/>
                <w:szCs w:val="21"/>
              </w:rPr>
            </w:pPr>
            <w:r>
              <w:rPr>
                <w:rFonts w:eastAsia="方正仿宋_GBK"/>
                <w:szCs w:val="21"/>
              </w:rPr>
              <w:t>14</w:t>
            </w:r>
          </w:p>
        </w:tc>
        <w:tc>
          <w:tcPr>
            <w:tcW w:w="1135" w:type="dxa"/>
            <w:noWrap w:val="0"/>
            <w:vAlign w:val="center"/>
          </w:tcPr>
          <w:p w14:paraId="697CCA1B">
            <w:pPr>
              <w:spacing w:line="400" w:lineRule="exact"/>
              <w:jc w:val="left"/>
              <w:rPr>
                <w:rFonts w:eastAsia="方正仿宋_GBK"/>
                <w:szCs w:val="21"/>
              </w:rPr>
            </w:pPr>
            <w:r>
              <w:rPr>
                <w:rFonts w:eastAsia="方正仿宋_GBK"/>
                <w:szCs w:val="21"/>
              </w:rPr>
              <w:t>加强政务信息管理</w:t>
            </w:r>
          </w:p>
        </w:tc>
        <w:tc>
          <w:tcPr>
            <w:tcW w:w="1298" w:type="dxa"/>
            <w:noWrap w:val="0"/>
            <w:vAlign w:val="center"/>
          </w:tcPr>
          <w:p w14:paraId="412BBC8E">
            <w:pPr>
              <w:spacing w:line="400" w:lineRule="exact"/>
              <w:jc w:val="left"/>
              <w:rPr>
                <w:rFonts w:eastAsia="方正仿宋_GBK"/>
                <w:szCs w:val="21"/>
              </w:rPr>
            </w:pPr>
            <w:r>
              <w:rPr>
                <w:rFonts w:eastAsia="方正仿宋_GBK"/>
                <w:szCs w:val="21"/>
              </w:rPr>
              <w:t>提高依申请公开工作质量</w:t>
            </w:r>
          </w:p>
        </w:tc>
        <w:tc>
          <w:tcPr>
            <w:tcW w:w="9413" w:type="dxa"/>
            <w:noWrap w:val="0"/>
            <w:vAlign w:val="center"/>
          </w:tcPr>
          <w:p w14:paraId="1AF9F627">
            <w:pPr>
              <w:spacing w:line="400" w:lineRule="exact"/>
              <w:rPr>
                <w:rFonts w:eastAsia="方正仿宋_GBK"/>
                <w:szCs w:val="21"/>
              </w:rPr>
            </w:pPr>
            <w:r>
              <w:rPr>
                <w:rFonts w:eastAsia="方正仿宋_GBK"/>
                <w:szCs w:val="21"/>
              </w:rPr>
              <w:t>严格贯彻落实《云南省政府信息依申请公开工作规程（修订）》，进一步规范全省政府信息依申请公开工作，不断提升答复文书规范化水平。正确适用《政府信息公开信息处理费管理办法》，严格规范政府信息公开信息处理费计收工作。切实转变观念，强化服务理念，把依申请公开工作作为服务人民群众生产生活、支持市场主体创业创新的重要方式，更好满足申请人对政府信息的个性化合理需求。</w:t>
            </w:r>
          </w:p>
        </w:tc>
        <w:tc>
          <w:tcPr>
            <w:tcW w:w="2225" w:type="dxa"/>
            <w:noWrap w:val="0"/>
            <w:vAlign w:val="center"/>
          </w:tcPr>
          <w:p w14:paraId="13C62CEA">
            <w:pPr>
              <w:spacing w:line="400" w:lineRule="exact"/>
              <w:rPr>
                <w:rFonts w:eastAsia="方正仿宋_GBK"/>
                <w:szCs w:val="21"/>
              </w:rPr>
            </w:pPr>
            <w:r>
              <w:rPr>
                <w:rFonts w:eastAsia="方正仿宋_GBK"/>
                <w:szCs w:val="21"/>
              </w:rPr>
              <w:t>州政府办公室牵头；州直有关部门，各县、市人民政府按照职责分工负责</w:t>
            </w:r>
          </w:p>
        </w:tc>
      </w:tr>
      <w:tr w14:paraId="4DDD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032" w:type="dxa"/>
            <w:noWrap w:val="0"/>
            <w:vAlign w:val="center"/>
          </w:tcPr>
          <w:p w14:paraId="6E72723F">
            <w:pPr>
              <w:spacing w:line="400" w:lineRule="exact"/>
              <w:jc w:val="center"/>
              <w:rPr>
                <w:rFonts w:eastAsia="方正仿宋_GBK"/>
                <w:szCs w:val="21"/>
              </w:rPr>
            </w:pPr>
            <w:r>
              <w:rPr>
                <w:rFonts w:eastAsia="方正仿宋_GBK"/>
                <w:szCs w:val="21"/>
              </w:rPr>
              <w:t>15</w:t>
            </w:r>
          </w:p>
        </w:tc>
        <w:tc>
          <w:tcPr>
            <w:tcW w:w="1135" w:type="dxa"/>
            <w:noWrap w:val="0"/>
            <w:vAlign w:val="center"/>
          </w:tcPr>
          <w:p w14:paraId="283554EE">
            <w:pPr>
              <w:spacing w:line="400" w:lineRule="exact"/>
              <w:jc w:val="left"/>
              <w:rPr>
                <w:rFonts w:eastAsia="方正仿宋_GBK"/>
                <w:szCs w:val="21"/>
              </w:rPr>
            </w:pPr>
            <w:r>
              <w:rPr>
                <w:rFonts w:eastAsia="方正仿宋_GBK"/>
                <w:szCs w:val="21"/>
              </w:rPr>
              <w:t>规范政务公开平台建设</w:t>
            </w:r>
          </w:p>
        </w:tc>
        <w:tc>
          <w:tcPr>
            <w:tcW w:w="1298" w:type="dxa"/>
            <w:noWrap w:val="0"/>
            <w:vAlign w:val="center"/>
          </w:tcPr>
          <w:p w14:paraId="41ACD394">
            <w:pPr>
              <w:spacing w:line="400" w:lineRule="exact"/>
              <w:jc w:val="left"/>
              <w:rPr>
                <w:rFonts w:eastAsia="方正仿宋_GBK"/>
                <w:szCs w:val="21"/>
              </w:rPr>
            </w:pPr>
            <w:r>
              <w:rPr>
                <w:rFonts w:eastAsia="方正仿宋_GBK"/>
                <w:szCs w:val="21"/>
              </w:rPr>
              <w:t>强化政府网站功能建设</w:t>
            </w:r>
          </w:p>
        </w:tc>
        <w:tc>
          <w:tcPr>
            <w:tcW w:w="9413" w:type="dxa"/>
            <w:noWrap w:val="0"/>
            <w:vAlign w:val="center"/>
          </w:tcPr>
          <w:p w14:paraId="726EFBA6">
            <w:pPr>
              <w:spacing w:line="400" w:lineRule="exact"/>
              <w:rPr>
                <w:rFonts w:eastAsia="方正仿宋_GBK"/>
                <w:szCs w:val="21"/>
              </w:rPr>
            </w:pPr>
            <w:r>
              <w:rPr>
                <w:rFonts w:eastAsia="方正仿宋_GBK"/>
                <w:szCs w:val="21"/>
              </w:rPr>
              <w:t>聚焦法定主动公开内容、规章和行政规范性文件等重点信息，进一步优化“政府信息公开平台”设置，并对“政府信息公开平台”建设情况开展专项检查，及时督促整改存在的问题。持续做好政府网站常态化监管工作，将信用类专项网站全部纳入统一监管。积极配合做好全省统一“政务云”建设和政府网站集约化建设工作部署要求。</w:t>
            </w:r>
          </w:p>
        </w:tc>
        <w:tc>
          <w:tcPr>
            <w:tcW w:w="2225" w:type="dxa"/>
            <w:noWrap w:val="0"/>
            <w:vAlign w:val="center"/>
          </w:tcPr>
          <w:p w14:paraId="5BBE594C">
            <w:pPr>
              <w:spacing w:line="400" w:lineRule="exact"/>
              <w:rPr>
                <w:rFonts w:eastAsia="方正仿宋_GBK"/>
                <w:szCs w:val="21"/>
              </w:rPr>
            </w:pPr>
            <w:r>
              <w:rPr>
                <w:rFonts w:eastAsia="方正仿宋_GBK"/>
                <w:szCs w:val="21"/>
              </w:rPr>
              <w:t>州政府办公室牵头；州直有关部门，各县、市人民政府按照职责分工负责</w:t>
            </w:r>
          </w:p>
        </w:tc>
      </w:tr>
      <w:tr w14:paraId="7853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32" w:type="dxa"/>
            <w:noWrap w:val="0"/>
            <w:vAlign w:val="center"/>
          </w:tcPr>
          <w:p w14:paraId="3A9D7F82">
            <w:pPr>
              <w:spacing w:line="400" w:lineRule="exact"/>
              <w:jc w:val="center"/>
              <w:rPr>
                <w:rFonts w:eastAsia="方正仿宋_GBK"/>
                <w:szCs w:val="21"/>
              </w:rPr>
            </w:pPr>
            <w:r>
              <w:rPr>
                <w:rFonts w:eastAsia="方正仿宋_GBK"/>
                <w:szCs w:val="21"/>
              </w:rPr>
              <w:t>16</w:t>
            </w:r>
          </w:p>
        </w:tc>
        <w:tc>
          <w:tcPr>
            <w:tcW w:w="1135" w:type="dxa"/>
            <w:noWrap w:val="0"/>
            <w:vAlign w:val="center"/>
          </w:tcPr>
          <w:p w14:paraId="7DA28F85">
            <w:pPr>
              <w:spacing w:line="400" w:lineRule="exact"/>
              <w:jc w:val="left"/>
              <w:rPr>
                <w:rFonts w:eastAsia="方正仿宋_GBK"/>
                <w:szCs w:val="21"/>
              </w:rPr>
            </w:pPr>
            <w:r>
              <w:rPr>
                <w:rFonts w:eastAsia="方正仿宋_GBK"/>
                <w:szCs w:val="21"/>
              </w:rPr>
              <w:t>规范政务公开平台建设</w:t>
            </w:r>
          </w:p>
        </w:tc>
        <w:tc>
          <w:tcPr>
            <w:tcW w:w="1298" w:type="dxa"/>
            <w:noWrap w:val="0"/>
            <w:vAlign w:val="center"/>
          </w:tcPr>
          <w:p w14:paraId="42CD951C">
            <w:pPr>
              <w:spacing w:line="400" w:lineRule="exact"/>
              <w:jc w:val="left"/>
              <w:rPr>
                <w:rFonts w:eastAsia="方正仿宋_GBK"/>
                <w:szCs w:val="21"/>
              </w:rPr>
            </w:pPr>
            <w:r>
              <w:rPr>
                <w:rFonts w:eastAsia="方正仿宋_GBK"/>
                <w:szCs w:val="21"/>
              </w:rPr>
              <w:t>加强政府系统政务新媒体清理整合</w:t>
            </w:r>
          </w:p>
        </w:tc>
        <w:tc>
          <w:tcPr>
            <w:tcW w:w="9413" w:type="dxa"/>
            <w:noWrap w:val="0"/>
            <w:vAlign w:val="center"/>
          </w:tcPr>
          <w:p w14:paraId="166F2729">
            <w:pPr>
              <w:spacing w:line="400" w:lineRule="exact"/>
              <w:rPr>
                <w:rFonts w:eastAsia="方正仿宋_GBK"/>
                <w:szCs w:val="21"/>
              </w:rPr>
            </w:pPr>
            <w:r>
              <w:rPr>
                <w:rFonts w:eastAsia="方正仿宋_GBK"/>
                <w:szCs w:val="21"/>
              </w:rPr>
              <w:t>健全完善政府系统政务新媒体监管机制，深入推进常态化监管工作。牢牢守住政务新媒体功能定位，集中力量做优做强主账号，清理整合功能相近、用户关注度和利用率低的账号，坚决关停注销无力运维的账号。依托“全国政务新媒体信息报送系统”，全面梳理排查，及时查缺补漏，确保应报尽报、应管尽管。政府系统政务新媒体的开办、变更、关停、注销严格落实分级备案制度，及时向主管部门报备。</w:t>
            </w:r>
          </w:p>
        </w:tc>
        <w:tc>
          <w:tcPr>
            <w:tcW w:w="2225" w:type="dxa"/>
            <w:noWrap w:val="0"/>
            <w:vAlign w:val="center"/>
          </w:tcPr>
          <w:p w14:paraId="5BA6C3B8">
            <w:pPr>
              <w:spacing w:line="400" w:lineRule="exact"/>
              <w:rPr>
                <w:rFonts w:eastAsia="方正仿宋_GBK"/>
                <w:szCs w:val="21"/>
              </w:rPr>
            </w:pPr>
            <w:r>
              <w:rPr>
                <w:rFonts w:eastAsia="方正仿宋_GBK"/>
                <w:szCs w:val="21"/>
              </w:rPr>
              <w:t>州政府办公室牵头；州直有关部门，各县、市人民政府按照职责分工负责</w:t>
            </w:r>
          </w:p>
        </w:tc>
      </w:tr>
      <w:tr w14:paraId="1C58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032" w:type="dxa"/>
            <w:noWrap w:val="0"/>
            <w:vAlign w:val="center"/>
          </w:tcPr>
          <w:p w14:paraId="6938705C">
            <w:pPr>
              <w:spacing w:line="400" w:lineRule="exact"/>
              <w:jc w:val="center"/>
              <w:rPr>
                <w:rFonts w:eastAsia="方正仿宋_GBK"/>
                <w:szCs w:val="21"/>
              </w:rPr>
            </w:pPr>
            <w:r>
              <w:rPr>
                <w:rFonts w:eastAsia="方正仿宋_GBK"/>
                <w:szCs w:val="21"/>
              </w:rPr>
              <w:t>17</w:t>
            </w:r>
          </w:p>
        </w:tc>
        <w:tc>
          <w:tcPr>
            <w:tcW w:w="1135" w:type="dxa"/>
            <w:noWrap w:val="0"/>
            <w:vAlign w:val="center"/>
          </w:tcPr>
          <w:p w14:paraId="147449CB">
            <w:pPr>
              <w:spacing w:line="400" w:lineRule="exact"/>
              <w:jc w:val="left"/>
              <w:rPr>
                <w:rFonts w:eastAsia="方正仿宋_GBK"/>
                <w:szCs w:val="21"/>
              </w:rPr>
            </w:pPr>
            <w:r>
              <w:rPr>
                <w:rFonts w:eastAsia="方正仿宋_GBK"/>
                <w:szCs w:val="21"/>
              </w:rPr>
              <w:t>规范政务公开平台建设</w:t>
            </w:r>
          </w:p>
        </w:tc>
        <w:tc>
          <w:tcPr>
            <w:tcW w:w="1298" w:type="dxa"/>
            <w:noWrap w:val="0"/>
            <w:vAlign w:val="center"/>
          </w:tcPr>
          <w:p w14:paraId="7D94ACBF">
            <w:pPr>
              <w:spacing w:line="400" w:lineRule="exact"/>
              <w:jc w:val="left"/>
              <w:rPr>
                <w:rFonts w:eastAsia="方正仿宋_GBK"/>
                <w:szCs w:val="21"/>
              </w:rPr>
            </w:pPr>
            <w:r>
              <w:rPr>
                <w:rFonts w:eastAsia="方正仿宋_GBK"/>
                <w:szCs w:val="21"/>
              </w:rPr>
              <w:t>推进政务服务便民热线优化整合</w:t>
            </w:r>
          </w:p>
        </w:tc>
        <w:tc>
          <w:tcPr>
            <w:tcW w:w="9413" w:type="dxa"/>
            <w:noWrap w:val="0"/>
            <w:vAlign w:val="center"/>
          </w:tcPr>
          <w:p w14:paraId="46D9DB98">
            <w:pPr>
              <w:spacing w:line="400" w:lineRule="exact"/>
              <w:rPr>
                <w:rFonts w:eastAsia="方正仿宋_GBK"/>
                <w:szCs w:val="21"/>
              </w:rPr>
            </w:pPr>
            <w:r>
              <w:rPr>
                <w:rFonts w:eastAsia="方正仿宋_GBK"/>
                <w:szCs w:val="21"/>
              </w:rPr>
              <w:t>按照国家和云南省有关要求，分级分类完成政务服务便民热线归并工作，确保2021年底前全州非紧急类热线实现“12345”一个号码服务。健全政务服务便民热线工作管理体系，强化热线平台、办理系统、诉求受理渠道、知识库等的建设与维护，进一步优化运行流程，强化协调联动，推进信息共享，加强热线队伍建设，不断提高利企便民服务水平。</w:t>
            </w:r>
          </w:p>
        </w:tc>
        <w:tc>
          <w:tcPr>
            <w:tcW w:w="2225" w:type="dxa"/>
            <w:noWrap w:val="0"/>
            <w:vAlign w:val="center"/>
          </w:tcPr>
          <w:p w14:paraId="07076289">
            <w:pPr>
              <w:spacing w:line="400" w:lineRule="exact"/>
              <w:rPr>
                <w:rFonts w:eastAsia="方正仿宋_GBK"/>
                <w:szCs w:val="21"/>
              </w:rPr>
            </w:pPr>
            <w:r>
              <w:rPr>
                <w:rFonts w:eastAsia="方正仿宋_GBK"/>
                <w:szCs w:val="21"/>
              </w:rPr>
              <w:t>州政务服务管理局；州直有关部门，各县、市人民政府按照职责分工负责</w:t>
            </w:r>
          </w:p>
        </w:tc>
      </w:tr>
      <w:tr w14:paraId="2EF2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032" w:type="dxa"/>
            <w:noWrap w:val="0"/>
            <w:vAlign w:val="center"/>
          </w:tcPr>
          <w:p w14:paraId="303E6C67">
            <w:pPr>
              <w:spacing w:line="400" w:lineRule="exact"/>
              <w:jc w:val="center"/>
              <w:rPr>
                <w:rFonts w:eastAsia="方正仿宋_GBK"/>
                <w:szCs w:val="21"/>
              </w:rPr>
            </w:pPr>
            <w:r>
              <w:rPr>
                <w:rFonts w:eastAsia="方正仿宋_GBK"/>
                <w:szCs w:val="21"/>
              </w:rPr>
              <w:t>18</w:t>
            </w:r>
          </w:p>
        </w:tc>
        <w:tc>
          <w:tcPr>
            <w:tcW w:w="1135" w:type="dxa"/>
            <w:noWrap w:val="0"/>
            <w:vAlign w:val="center"/>
          </w:tcPr>
          <w:p w14:paraId="4FE6B151">
            <w:pPr>
              <w:spacing w:line="400" w:lineRule="exact"/>
              <w:jc w:val="left"/>
              <w:rPr>
                <w:rFonts w:eastAsia="方正仿宋_GBK"/>
                <w:szCs w:val="21"/>
              </w:rPr>
            </w:pPr>
            <w:r>
              <w:rPr>
                <w:rFonts w:eastAsia="方正仿宋_GBK"/>
                <w:szCs w:val="21"/>
              </w:rPr>
              <w:t>规范政务公开平台建设</w:t>
            </w:r>
          </w:p>
        </w:tc>
        <w:tc>
          <w:tcPr>
            <w:tcW w:w="1298" w:type="dxa"/>
            <w:noWrap w:val="0"/>
            <w:vAlign w:val="center"/>
          </w:tcPr>
          <w:p w14:paraId="1304C0A3">
            <w:pPr>
              <w:spacing w:line="400" w:lineRule="exact"/>
              <w:jc w:val="left"/>
              <w:rPr>
                <w:rFonts w:eastAsia="方正仿宋_GBK"/>
                <w:szCs w:val="21"/>
              </w:rPr>
            </w:pPr>
            <w:r>
              <w:rPr>
                <w:rFonts w:eastAsia="方正仿宋_GBK"/>
                <w:szCs w:val="21"/>
              </w:rPr>
              <w:t>提高政府公报服务社会水平</w:t>
            </w:r>
          </w:p>
        </w:tc>
        <w:tc>
          <w:tcPr>
            <w:tcW w:w="9413" w:type="dxa"/>
            <w:noWrap w:val="0"/>
            <w:vAlign w:val="center"/>
          </w:tcPr>
          <w:p w14:paraId="3855F174">
            <w:pPr>
              <w:spacing w:line="400" w:lineRule="exact"/>
              <w:rPr>
                <w:rFonts w:eastAsia="方正仿宋_GBK"/>
                <w:szCs w:val="21"/>
              </w:rPr>
            </w:pPr>
            <w:r>
              <w:rPr>
                <w:rFonts w:eastAsia="方正仿宋_GBK"/>
                <w:szCs w:val="21"/>
              </w:rPr>
              <w:t>强化政府公报规范化建设，进一步健全和完善规章和行政规范性文件刊登机制，扩大政府公报赠阅覆盖面。加强政府网站政府公报栏目建设，优化电子版阅读界面，强化目录导航和内容检索等功能，提升政府公报电子版服务水平；完善政府公报数据库，推进数据互联互通和资源共享，提升政府公报数字化利用水平。进一步通过政务新媒体等渠道加强政府公报内容传播，扩大政府公报受众面。</w:t>
            </w:r>
          </w:p>
        </w:tc>
        <w:tc>
          <w:tcPr>
            <w:tcW w:w="2225" w:type="dxa"/>
            <w:noWrap w:val="0"/>
            <w:vAlign w:val="center"/>
          </w:tcPr>
          <w:p w14:paraId="41EBCEE5">
            <w:pPr>
              <w:spacing w:line="400" w:lineRule="exact"/>
              <w:rPr>
                <w:rFonts w:eastAsia="方正仿宋_GBK"/>
                <w:szCs w:val="21"/>
              </w:rPr>
            </w:pPr>
            <w:r>
              <w:rPr>
                <w:rFonts w:eastAsia="方正仿宋_GBK"/>
                <w:szCs w:val="21"/>
              </w:rPr>
              <w:t>州政府办公室牵头；州直有关部门，各县、市人民政府按照职责分工负责</w:t>
            </w:r>
          </w:p>
        </w:tc>
      </w:tr>
      <w:tr w14:paraId="6A13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032" w:type="dxa"/>
            <w:noWrap w:val="0"/>
            <w:vAlign w:val="center"/>
          </w:tcPr>
          <w:p w14:paraId="65F776CD">
            <w:pPr>
              <w:spacing w:line="400" w:lineRule="exact"/>
              <w:jc w:val="center"/>
              <w:rPr>
                <w:rFonts w:eastAsia="方正仿宋_GBK"/>
                <w:szCs w:val="21"/>
              </w:rPr>
            </w:pPr>
            <w:r>
              <w:rPr>
                <w:rFonts w:eastAsia="方正仿宋_GBK"/>
                <w:szCs w:val="21"/>
              </w:rPr>
              <w:t>19</w:t>
            </w:r>
          </w:p>
        </w:tc>
        <w:tc>
          <w:tcPr>
            <w:tcW w:w="1135" w:type="dxa"/>
            <w:noWrap w:val="0"/>
            <w:vAlign w:val="center"/>
          </w:tcPr>
          <w:p w14:paraId="6281EAE5">
            <w:pPr>
              <w:spacing w:line="400" w:lineRule="exact"/>
              <w:jc w:val="left"/>
              <w:rPr>
                <w:rFonts w:eastAsia="方正仿宋_GBK"/>
                <w:szCs w:val="21"/>
              </w:rPr>
            </w:pPr>
            <w:r>
              <w:rPr>
                <w:rFonts w:eastAsia="方正仿宋_GBK"/>
                <w:szCs w:val="21"/>
              </w:rPr>
              <w:t>加强组织保障</w:t>
            </w:r>
          </w:p>
        </w:tc>
        <w:tc>
          <w:tcPr>
            <w:tcW w:w="1298" w:type="dxa"/>
            <w:noWrap w:val="0"/>
            <w:vAlign w:val="center"/>
          </w:tcPr>
          <w:p w14:paraId="7BDCF57A">
            <w:pPr>
              <w:spacing w:line="400" w:lineRule="exact"/>
              <w:jc w:val="left"/>
              <w:rPr>
                <w:rFonts w:eastAsia="方正仿宋_GBK"/>
                <w:szCs w:val="21"/>
              </w:rPr>
            </w:pPr>
            <w:r>
              <w:rPr>
                <w:rFonts w:eastAsia="方正仿宋_GBK"/>
                <w:szCs w:val="21"/>
              </w:rPr>
              <w:t>加强组织保障</w:t>
            </w:r>
          </w:p>
        </w:tc>
        <w:tc>
          <w:tcPr>
            <w:tcW w:w="9413" w:type="dxa"/>
            <w:noWrap w:val="0"/>
            <w:vAlign w:val="center"/>
          </w:tcPr>
          <w:p w14:paraId="6CF7A9DF">
            <w:pPr>
              <w:spacing w:line="400" w:lineRule="exact"/>
              <w:rPr>
                <w:rFonts w:eastAsia="方正仿宋_GBK"/>
                <w:szCs w:val="21"/>
              </w:rPr>
            </w:pPr>
            <w:r>
              <w:rPr>
                <w:rFonts w:eastAsia="方正仿宋_GBK"/>
                <w:szCs w:val="21"/>
              </w:rPr>
              <w:t>各级政务公开领导小组要定期召开会议，充分履行统筹指导协调推进职责。各县市各部门要进一步明确内设办公室</w:t>
            </w:r>
            <w:r>
              <w:rPr>
                <w:rFonts w:hint="eastAsia" w:eastAsia="方正仿宋_GBK"/>
                <w:szCs w:val="21"/>
              </w:rPr>
              <w:t>是</w:t>
            </w:r>
            <w:r>
              <w:rPr>
                <w:rFonts w:eastAsia="方正仿宋_GBK"/>
                <w:szCs w:val="21"/>
              </w:rPr>
              <w:t>政务公开工作主管部门，</w:t>
            </w:r>
            <w:r>
              <w:rPr>
                <w:rFonts w:hint="eastAsia" w:eastAsia="方正仿宋_GBK"/>
                <w:szCs w:val="21"/>
              </w:rPr>
              <w:t>承担着政务公开日常工作和年度考核工作职责，要进一步理顺工作关系，</w:t>
            </w:r>
            <w:r>
              <w:rPr>
                <w:rFonts w:eastAsia="方正仿宋_GBK"/>
                <w:szCs w:val="21"/>
              </w:rPr>
              <w:t>配齐配强专职工作人员，加强经费保障。各县市各部门主要负责同志年内至少要听取1次政务公开工作汇报，专题研究部署推进工作。</w:t>
            </w:r>
          </w:p>
        </w:tc>
        <w:tc>
          <w:tcPr>
            <w:tcW w:w="2225" w:type="dxa"/>
            <w:noWrap w:val="0"/>
            <w:vAlign w:val="center"/>
          </w:tcPr>
          <w:p w14:paraId="0AD2C1C5">
            <w:pPr>
              <w:spacing w:line="400" w:lineRule="exact"/>
              <w:rPr>
                <w:rFonts w:eastAsia="方正仿宋_GBK"/>
                <w:szCs w:val="21"/>
              </w:rPr>
            </w:pPr>
            <w:r>
              <w:rPr>
                <w:rFonts w:eastAsia="方正仿宋_GBK"/>
                <w:szCs w:val="21"/>
              </w:rPr>
              <w:t>州直有关部门，各县、市人民政府按照职责分工负责</w:t>
            </w:r>
          </w:p>
        </w:tc>
      </w:tr>
      <w:tr w14:paraId="7F62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032" w:type="dxa"/>
            <w:noWrap w:val="0"/>
            <w:vAlign w:val="center"/>
          </w:tcPr>
          <w:p w14:paraId="3B30A8B9">
            <w:pPr>
              <w:spacing w:line="400" w:lineRule="exact"/>
              <w:jc w:val="center"/>
              <w:rPr>
                <w:rFonts w:eastAsia="方正仿宋_GBK"/>
                <w:b/>
                <w:kern w:val="0"/>
                <w:sz w:val="32"/>
                <w:szCs w:val="32"/>
              </w:rPr>
            </w:pPr>
            <w:r>
              <w:rPr>
                <w:rFonts w:eastAsia="方正仿宋_GBK"/>
                <w:szCs w:val="21"/>
              </w:rPr>
              <w:t>20</w:t>
            </w:r>
          </w:p>
        </w:tc>
        <w:tc>
          <w:tcPr>
            <w:tcW w:w="1135" w:type="dxa"/>
            <w:noWrap w:val="0"/>
            <w:vAlign w:val="center"/>
          </w:tcPr>
          <w:p w14:paraId="0C838247">
            <w:pPr>
              <w:spacing w:line="400" w:lineRule="exact"/>
              <w:jc w:val="left"/>
              <w:rPr>
                <w:rFonts w:eastAsia="方正仿宋_GBK"/>
                <w:szCs w:val="21"/>
              </w:rPr>
            </w:pPr>
            <w:r>
              <w:rPr>
                <w:rFonts w:eastAsia="方正仿宋_GBK"/>
                <w:szCs w:val="21"/>
              </w:rPr>
              <w:t>加强组织保障</w:t>
            </w:r>
          </w:p>
        </w:tc>
        <w:tc>
          <w:tcPr>
            <w:tcW w:w="1298" w:type="dxa"/>
            <w:noWrap w:val="0"/>
            <w:vAlign w:val="center"/>
          </w:tcPr>
          <w:p w14:paraId="6A775C8A">
            <w:pPr>
              <w:spacing w:line="400" w:lineRule="exact"/>
              <w:jc w:val="left"/>
              <w:rPr>
                <w:rFonts w:eastAsia="方正仿宋_GBK"/>
                <w:szCs w:val="21"/>
              </w:rPr>
            </w:pPr>
            <w:r>
              <w:rPr>
                <w:rFonts w:eastAsia="方正仿宋_GBK"/>
                <w:szCs w:val="21"/>
              </w:rPr>
              <w:t>强化监督考核</w:t>
            </w:r>
          </w:p>
        </w:tc>
        <w:tc>
          <w:tcPr>
            <w:tcW w:w="9413" w:type="dxa"/>
            <w:noWrap w:val="0"/>
            <w:vAlign w:val="center"/>
          </w:tcPr>
          <w:p w14:paraId="1FFB616A">
            <w:pPr>
              <w:spacing w:line="400" w:lineRule="exact"/>
              <w:rPr>
                <w:rFonts w:eastAsia="方正仿宋_GBK"/>
                <w:szCs w:val="21"/>
              </w:rPr>
            </w:pPr>
            <w:r>
              <w:rPr>
                <w:rFonts w:eastAsia="方正仿宋_GBK"/>
                <w:szCs w:val="21"/>
              </w:rPr>
              <w:t>各级政务公开工作主管部门要主动对接协调，严格落实“政务公开工作纳入年度综合考评体系且分值权重不低于4%”的要求，进一步优化政务公开年度考核指标，依法规范开展考核。要充分借助信息化手段开展日常指导和考核评估，避免过度要求下级单位提供自查报告、情况说明等材料。同时，要正确对待社会上各类政务公开第三方评估结果，原则上不以行政机关名义领取民间奖励，不选择性参加评估结果对本机关有利的发布会、论坛等活动。</w:t>
            </w:r>
          </w:p>
        </w:tc>
        <w:tc>
          <w:tcPr>
            <w:tcW w:w="2225" w:type="dxa"/>
            <w:noWrap w:val="0"/>
            <w:vAlign w:val="center"/>
          </w:tcPr>
          <w:p w14:paraId="7EA0A2F1">
            <w:pPr>
              <w:spacing w:line="400" w:lineRule="exact"/>
              <w:rPr>
                <w:rFonts w:eastAsia="方正仿宋_GBK"/>
                <w:szCs w:val="21"/>
              </w:rPr>
            </w:pPr>
            <w:r>
              <w:rPr>
                <w:rFonts w:eastAsia="方正仿宋_GBK"/>
                <w:szCs w:val="21"/>
              </w:rPr>
              <w:t>州政府办公室牵头；州直有关部门，各县、市人民政府按照职责分工负责</w:t>
            </w:r>
          </w:p>
        </w:tc>
      </w:tr>
      <w:tr w14:paraId="5D80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1032" w:type="dxa"/>
            <w:noWrap w:val="0"/>
            <w:vAlign w:val="center"/>
          </w:tcPr>
          <w:p w14:paraId="45058C58">
            <w:pPr>
              <w:spacing w:line="400" w:lineRule="exact"/>
              <w:jc w:val="center"/>
              <w:rPr>
                <w:rFonts w:eastAsia="方正仿宋_GBK"/>
                <w:szCs w:val="21"/>
              </w:rPr>
            </w:pPr>
            <w:r>
              <w:rPr>
                <w:rFonts w:eastAsia="方正仿宋_GBK"/>
                <w:szCs w:val="21"/>
              </w:rPr>
              <w:t>21</w:t>
            </w:r>
          </w:p>
        </w:tc>
        <w:tc>
          <w:tcPr>
            <w:tcW w:w="1135" w:type="dxa"/>
            <w:noWrap w:val="0"/>
            <w:vAlign w:val="center"/>
          </w:tcPr>
          <w:p w14:paraId="1324B8C7">
            <w:pPr>
              <w:spacing w:line="400" w:lineRule="exact"/>
              <w:jc w:val="left"/>
              <w:rPr>
                <w:rFonts w:eastAsia="方正仿宋_GBK"/>
                <w:szCs w:val="21"/>
              </w:rPr>
            </w:pPr>
            <w:r>
              <w:rPr>
                <w:rFonts w:eastAsia="方正仿宋_GBK"/>
                <w:szCs w:val="21"/>
              </w:rPr>
              <w:t>加强组织保障</w:t>
            </w:r>
          </w:p>
        </w:tc>
        <w:tc>
          <w:tcPr>
            <w:tcW w:w="1298" w:type="dxa"/>
            <w:noWrap w:val="0"/>
            <w:vAlign w:val="center"/>
          </w:tcPr>
          <w:p w14:paraId="521D69D4">
            <w:pPr>
              <w:spacing w:line="400" w:lineRule="exact"/>
              <w:jc w:val="left"/>
              <w:rPr>
                <w:rFonts w:eastAsia="方正仿宋_GBK"/>
                <w:szCs w:val="21"/>
              </w:rPr>
            </w:pPr>
            <w:r>
              <w:rPr>
                <w:rFonts w:eastAsia="方正仿宋_GBK"/>
                <w:szCs w:val="21"/>
              </w:rPr>
              <w:t>提升培训效果</w:t>
            </w:r>
          </w:p>
        </w:tc>
        <w:tc>
          <w:tcPr>
            <w:tcW w:w="9413" w:type="dxa"/>
            <w:noWrap w:val="0"/>
            <w:vAlign w:val="center"/>
          </w:tcPr>
          <w:p w14:paraId="734EABF6">
            <w:pPr>
              <w:spacing w:line="400" w:lineRule="exact"/>
              <w:rPr>
                <w:rFonts w:eastAsia="方正仿宋_GBK"/>
                <w:szCs w:val="21"/>
              </w:rPr>
            </w:pPr>
            <w:r>
              <w:rPr>
                <w:rFonts w:eastAsia="方正仿宋_GBK"/>
                <w:szCs w:val="21"/>
              </w:rPr>
              <w:t>积极开展针对性业务培训，紧扣薄弱环节，优化培训内容，年内至少组织开展1次政务公开业务培训。积极探索建立与高校、媒体交流合作的融合发展机制，进一步提升培训效果。各级政务公开工作主管部门要加强与有关部门的沟通协调，将《中华人民共和国政府信息公开条例》列入领导干部学法和公务员初任培训课程，进一步提升政务公开意识和工作能力。</w:t>
            </w:r>
          </w:p>
        </w:tc>
        <w:tc>
          <w:tcPr>
            <w:tcW w:w="2225" w:type="dxa"/>
            <w:noWrap w:val="0"/>
            <w:vAlign w:val="center"/>
          </w:tcPr>
          <w:p w14:paraId="0613BACC">
            <w:pPr>
              <w:spacing w:line="400" w:lineRule="exact"/>
              <w:rPr>
                <w:rFonts w:eastAsia="方正仿宋_GBK"/>
                <w:szCs w:val="21"/>
              </w:rPr>
            </w:pPr>
            <w:r>
              <w:rPr>
                <w:rFonts w:eastAsia="方正仿宋_GBK"/>
                <w:szCs w:val="21"/>
              </w:rPr>
              <w:t>州政府办公室牵头；州直有关部门，各县、市人民政府按照职责分工负责</w:t>
            </w:r>
          </w:p>
        </w:tc>
      </w:tr>
      <w:tr w14:paraId="6CD5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032" w:type="dxa"/>
            <w:noWrap w:val="0"/>
            <w:vAlign w:val="center"/>
          </w:tcPr>
          <w:p w14:paraId="1D3526B0">
            <w:pPr>
              <w:spacing w:line="400" w:lineRule="exact"/>
              <w:jc w:val="center"/>
              <w:rPr>
                <w:rFonts w:eastAsia="方正仿宋_GBK"/>
                <w:szCs w:val="21"/>
              </w:rPr>
            </w:pPr>
            <w:r>
              <w:rPr>
                <w:rFonts w:eastAsia="方正仿宋_GBK"/>
                <w:szCs w:val="21"/>
              </w:rPr>
              <w:t>22</w:t>
            </w:r>
          </w:p>
        </w:tc>
        <w:tc>
          <w:tcPr>
            <w:tcW w:w="1135" w:type="dxa"/>
            <w:noWrap w:val="0"/>
            <w:vAlign w:val="center"/>
          </w:tcPr>
          <w:p w14:paraId="601D7ADE">
            <w:pPr>
              <w:spacing w:line="400" w:lineRule="exact"/>
              <w:jc w:val="left"/>
              <w:rPr>
                <w:rFonts w:eastAsia="方正仿宋_GBK"/>
                <w:szCs w:val="21"/>
              </w:rPr>
            </w:pPr>
            <w:r>
              <w:rPr>
                <w:rFonts w:eastAsia="方正仿宋_GBK"/>
                <w:szCs w:val="21"/>
              </w:rPr>
              <w:t>加强组织保障</w:t>
            </w:r>
          </w:p>
        </w:tc>
        <w:tc>
          <w:tcPr>
            <w:tcW w:w="1298" w:type="dxa"/>
            <w:noWrap w:val="0"/>
            <w:vAlign w:val="center"/>
          </w:tcPr>
          <w:p w14:paraId="0033416A">
            <w:pPr>
              <w:spacing w:line="400" w:lineRule="exact"/>
              <w:jc w:val="left"/>
              <w:rPr>
                <w:rFonts w:eastAsia="方正仿宋_GBK"/>
                <w:szCs w:val="21"/>
              </w:rPr>
            </w:pPr>
            <w:r>
              <w:rPr>
                <w:rFonts w:eastAsia="方正仿宋_GBK"/>
                <w:szCs w:val="21"/>
              </w:rPr>
              <w:t>狠抓工作落实</w:t>
            </w:r>
          </w:p>
        </w:tc>
        <w:tc>
          <w:tcPr>
            <w:tcW w:w="9413" w:type="dxa"/>
            <w:noWrap w:val="0"/>
            <w:vAlign w:val="center"/>
          </w:tcPr>
          <w:p w14:paraId="0D7574AF">
            <w:pPr>
              <w:spacing w:line="400" w:lineRule="exact"/>
              <w:rPr>
                <w:rFonts w:eastAsia="方正仿宋_GBK"/>
                <w:szCs w:val="21"/>
              </w:rPr>
            </w:pPr>
            <w:r>
              <w:rPr>
                <w:rFonts w:eastAsia="方正仿宋_GBK"/>
                <w:szCs w:val="21"/>
              </w:rPr>
              <w:t>年度工作要点贯彻落实情况要纳入政府信息公开工作年度报告予以公开，接受社会监督。各县市各部门要对上一年度工作要点落实情况开展“回头看”，及时督促整改存在问题。各级政务公开工作主管部门应及时总结上报推工作、抓落实的好经验和创新做法，并加大宣传推广力度。</w:t>
            </w:r>
          </w:p>
        </w:tc>
        <w:tc>
          <w:tcPr>
            <w:tcW w:w="2225" w:type="dxa"/>
            <w:noWrap w:val="0"/>
            <w:vAlign w:val="center"/>
          </w:tcPr>
          <w:p w14:paraId="6462027E">
            <w:pPr>
              <w:spacing w:line="400" w:lineRule="exact"/>
              <w:rPr>
                <w:rFonts w:eastAsia="方正仿宋_GBK"/>
                <w:szCs w:val="21"/>
              </w:rPr>
            </w:pPr>
            <w:r>
              <w:rPr>
                <w:rFonts w:eastAsia="方正仿宋_GBK"/>
                <w:szCs w:val="21"/>
              </w:rPr>
              <w:t>州直有关部门，各县、市人民政府按照职责分工负责</w:t>
            </w:r>
          </w:p>
        </w:tc>
      </w:tr>
    </w:tbl>
    <w:p w14:paraId="36A01815">
      <w:pPr>
        <w:spacing w:line="400" w:lineRule="exact"/>
        <w:rPr>
          <w:sz w:val="24"/>
        </w:rPr>
      </w:pPr>
    </w:p>
    <w:p w14:paraId="2166E04F">
      <w:pPr>
        <w:spacing w:line="520" w:lineRule="exact"/>
        <w:rPr>
          <w:rFonts w:eastAsia="方正仿宋_GBK"/>
          <w:sz w:val="32"/>
          <w:szCs w:val="32"/>
        </w:rPr>
        <w:sectPr>
          <w:footerReference r:id="rId5" w:type="default"/>
          <w:footerReference r:id="rId6" w:type="even"/>
          <w:type w:val="continuous"/>
          <w:pgSz w:w="16838" w:h="11906" w:orient="landscape"/>
          <w:pgMar w:top="1418" w:right="2098" w:bottom="1361" w:left="1985" w:header="851" w:footer="1134" w:gutter="0"/>
          <w:pgNumType w:chapStyle="1"/>
          <w:cols w:space="720" w:num="1"/>
          <w:docGrid w:type="lines" w:linePitch="312" w:charSpace="0"/>
        </w:sectPr>
      </w:pPr>
    </w:p>
    <w:p w14:paraId="34B85D8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C977">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61D78">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5961D78">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953686"/>
                      </w:txbxContent>
                    </wps:txbx>
                    <wps:bodyPr wrap="none" lIns="0" tIns="0" rIns="0" bIns="0" upright="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F8a63SAAAABwEAAA8AAAAAAAAAAQAgAAAAIgAAAGRycy9kb3ducmV2&#10;LnhtbFBLAQIUABQAAAAIAIdO4kAK3ViRyQEAAJkDAAAOAAAAAAAAAAEAIAAAACEBAABkcnMvZTJv&#10;RG9jLnhtbFBLBQYAAAAABgAGAFkBAABcBQAAAAA=&#10;">
              <v:fill on="f" focussize="0,0"/>
              <v:stroke on="f"/>
              <v:imagedata o:title=""/>
              <o:lock v:ext="edit" aspectratio="f"/>
              <v:textbox inset="0mm,0mm,0mm,0mm" style="mso-fit-shape-to-text:t;">
                <w:txbxContent>
                  <w:p w14:paraId="4495368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BE2E">
    <w:pPr>
      <w:pStyle w:val="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9DF97">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489DF97">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C1B7">
    <w:pPr>
      <w:pStyle w:val="2"/>
      <w:ind w:right="360" w:firstLine="360"/>
      <w:rPr>
        <w:rStyle w:val="5"/>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A590F">
                          <w:pPr>
                            <w:pStyle w:val="2"/>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9</w:t>
                          </w:r>
                          <w:r>
                            <w:rPr>
                              <w:rFonts w:ascii="宋体" w:hAnsi="宋体"/>
                              <w:sz w:val="28"/>
                              <w:szCs w:val="28"/>
                            </w:rPr>
                            <w:fldChar w:fldCharType="end"/>
                          </w:r>
                          <w:r>
                            <w:rPr>
                              <w:rStyle w:val="5"/>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4E7A590F">
                    <w:pPr>
                      <w:pStyle w:val="2"/>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9</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p w14:paraId="2F4094DF">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43B0">
    <w:pPr>
      <w:pStyle w:val="2"/>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06BA8">
                          <w:pPr>
                            <w:pStyle w:val="2"/>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18</w:t>
                          </w:r>
                          <w:r>
                            <w:rPr>
                              <w:rFonts w:ascii="宋体" w:hAnsi="宋体"/>
                              <w:sz w:val="28"/>
                              <w:szCs w:val="28"/>
                            </w:rPr>
                            <w:fldChar w:fldCharType="end"/>
                          </w:r>
                          <w:r>
                            <w:rPr>
                              <w:rStyle w:val="5"/>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4CD06BA8">
                    <w:pPr>
                      <w:pStyle w:val="2"/>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18</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F5591"/>
    <w:rsid w:val="3FD47ED5"/>
    <w:rsid w:val="4B3519D1"/>
    <w:rsid w:val="679F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2022-01-06T09:45:00Z</dcterms:created>
  <dc:creator>咖啡杯里的茶</dc:creator>
  <cp:lastModifiedBy>Administrator</cp:lastModifiedBy>
  <dcterms:modified xsi:type="dcterms:W3CDTF">2025-08-07T02:18:50Z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4767C9377C384C869D67953D1547D388_12</vt:lpwstr>
  </property>
</Properties>
</file>