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仿宋_GBK"/>
          <w:sz w:val="32"/>
          <w:szCs w:val="32"/>
        </w:rPr>
      </w:pPr>
      <w:bookmarkStart w:id="0" w:name="_GoBack"/>
      <w:bookmarkEnd w:id="0"/>
      <w:r>
        <w:rPr>
          <w:rFonts w:hint="eastAsia" w:ascii="方正黑体_GBK" w:hAnsi="方正黑体_GBK" w:eastAsia="方正黑体_GBK" w:cs="方正黑体_GBK"/>
          <w:sz w:val="32"/>
          <w:szCs w:val="32"/>
        </w:rPr>
        <w:t xml:space="preserve">附件1 </w:t>
      </w:r>
      <w:r>
        <w:rPr>
          <w:rFonts w:eastAsia="方正仿宋_GBK"/>
          <w:sz w:val="32"/>
          <w:szCs w:val="32"/>
        </w:rPr>
        <w:t xml:space="preserve">   </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德宏州人民政府决定下放的8项州级行政权力事项</w:t>
      </w:r>
    </w:p>
    <w:tbl>
      <w:tblPr>
        <w:tblStyle w:val="4"/>
        <w:tblW w:w="0" w:type="auto"/>
        <w:jc w:val="center"/>
        <w:tblLayout w:type="fixed"/>
        <w:tblCellMar>
          <w:top w:w="15" w:type="dxa"/>
          <w:left w:w="108" w:type="dxa"/>
          <w:bottom w:w="15" w:type="dxa"/>
          <w:right w:w="108" w:type="dxa"/>
        </w:tblCellMar>
      </w:tblPr>
      <w:tblGrid>
        <w:gridCol w:w="546"/>
        <w:gridCol w:w="1641"/>
        <w:gridCol w:w="736"/>
        <w:gridCol w:w="709"/>
        <w:gridCol w:w="5528"/>
        <w:gridCol w:w="851"/>
        <w:gridCol w:w="4123"/>
      </w:tblGrid>
      <w:tr>
        <w:tblPrEx>
          <w:tblCellMar>
            <w:top w:w="15" w:type="dxa"/>
            <w:left w:w="108" w:type="dxa"/>
            <w:bottom w:w="15" w:type="dxa"/>
            <w:right w:w="108" w:type="dxa"/>
          </w:tblCellMar>
        </w:tblPrEx>
        <w:trPr>
          <w:trHeight w:val="283" w:hRule="atLeast"/>
          <w:tblHeader/>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序号</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事项名称</w:t>
            </w:r>
          </w:p>
        </w:tc>
        <w:tc>
          <w:tcPr>
            <w:tcW w:w="736"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事项类型 </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行使层级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设定依据 </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业务指导部门</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调整方式</w:t>
            </w:r>
          </w:p>
        </w:tc>
      </w:tr>
      <w:tr>
        <w:tblPrEx>
          <w:tblCellMar>
            <w:top w:w="15" w:type="dxa"/>
            <w:left w:w="108" w:type="dxa"/>
            <w:bottom w:w="15" w:type="dxa"/>
            <w:right w:w="108" w:type="dxa"/>
          </w:tblCellMar>
        </w:tblPrEx>
        <w:trPr>
          <w:trHeight w:val="148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1</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通航水域岸线安全使用和水上水下活动许可</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《中华人民共和国内河交通安全管理条例》</w:t>
            </w:r>
          </w:p>
          <w:p>
            <w:pPr>
              <w:widowControl/>
              <w:spacing w:line="240" w:lineRule="exact"/>
              <w:jc w:val="left"/>
              <w:rPr>
                <w:rFonts w:eastAsia="方正仿宋_GBK"/>
                <w:color w:val="000000"/>
                <w:kern w:val="0"/>
                <w:szCs w:val="21"/>
              </w:rPr>
            </w:pPr>
            <w:r>
              <w:rPr>
                <w:rFonts w:eastAsia="方正仿宋_GBK"/>
                <w:color w:val="000000"/>
                <w:kern w:val="0"/>
                <w:szCs w:val="21"/>
              </w:rPr>
              <w:t>《中华人民共和国水上水下活动通航安全管理规定》（交通运输部令2019年第2号）</w:t>
            </w:r>
          </w:p>
          <w:p>
            <w:pPr>
              <w:widowControl/>
              <w:spacing w:line="240" w:lineRule="exact"/>
              <w:jc w:val="left"/>
              <w:rPr>
                <w:rFonts w:eastAsia="方正仿宋_GBK"/>
                <w:color w:val="000000"/>
                <w:kern w:val="0"/>
                <w:szCs w:val="21"/>
              </w:rPr>
            </w:pPr>
            <w:r>
              <w:rPr>
                <w:rFonts w:eastAsia="方正仿宋_GBK"/>
                <w:color w:val="000000"/>
                <w:kern w:val="0"/>
                <w:szCs w:val="21"/>
              </w:rPr>
              <w:t>《云南省地方海事局关于印发云南省海事监管事权层级划分方案的通知》（云海监〔2015〕345号）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下放，将州级权限下放至县级</w:t>
            </w:r>
          </w:p>
        </w:tc>
      </w:tr>
      <w:tr>
        <w:tblPrEx>
          <w:tblCellMar>
            <w:top w:w="15" w:type="dxa"/>
            <w:left w:w="108" w:type="dxa"/>
            <w:bottom w:w="15" w:type="dxa"/>
            <w:right w:w="108" w:type="dxa"/>
          </w:tblCellMar>
        </w:tblPrEx>
        <w:trPr>
          <w:trHeight w:val="193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2</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临时占用林地审批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 xml:space="preserve">州、县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《中华人民共和国森林法》</w:t>
            </w:r>
          </w:p>
          <w:p>
            <w:pPr>
              <w:widowControl/>
              <w:spacing w:line="240" w:lineRule="exact"/>
              <w:jc w:val="left"/>
              <w:rPr>
                <w:rFonts w:eastAsia="方正仿宋_GBK"/>
                <w:color w:val="000000"/>
                <w:kern w:val="0"/>
                <w:szCs w:val="21"/>
              </w:rPr>
            </w:pPr>
            <w:r>
              <w:rPr>
                <w:rFonts w:eastAsia="方正仿宋_GBK"/>
                <w:color w:val="000000"/>
                <w:kern w:val="0"/>
                <w:szCs w:val="21"/>
              </w:rPr>
              <w:t>《建设项目使用林地审核审批管理办法》（国家林业局令第 35 号）</w:t>
            </w:r>
          </w:p>
          <w:p>
            <w:pPr>
              <w:widowControl/>
              <w:spacing w:line="240" w:lineRule="exact"/>
              <w:jc w:val="left"/>
              <w:rPr>
                <w:rFonts w:eastAsia="方正仿宋_GBK"/>
                <w:color w:val="000000"/>
                <w:kern w:val="0"/>
                <w:szCs w:val="21"/>
              </w:rPr>
            </w:pPr>
            <w:r>
              <w:rPr>
                <w:rFonts w:eastAsia="方正仿宋_GBK"/>
                <w:color w:val="000000"/>
                <w:kern w:val="0"/>
                <w:szCs w:val="21"/>
              </w:rPr>
              <w:t>《云南省林业厅关于贯彻执行〈建设项目使用林地审核审批管理办法〉的通知》（云林林政〔2015〕28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eastAsia="方正仿宋_GBK"/>
                <w:color w:val="000000"/>
                <w:kern w:val="0"/>
                <w:szCs w:val="21"/>
                <w:lang w:eastAsia="zh-CN"/>
              </w:rPr>
            </w:pPr>
            <w:r>
              <w:rPr>
                <w:rFonts w:eastAsia="方正仿宋_GBK"/>
                <w:color w:val="000000"/>
                <w:kern w:val="0"/>
                <w:szCs w:val="21"/>
              </w:rPr>
              <w:t>州</w:t>
            </w:r>
            <w:r>
              <w:rPr>
                <w:rFonts w:hint="eastAsia" w:eastAsia="方正仿宋_GBK"/>
                <w:color w:val="000000"/>
                <w:kern w:val="0"/>
                <w:szCs w:val="21"/>
                <w:lang w:eastAsia="zh-CN"/>
              </w:rPr>
              <w:t>林业和草原局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下放，将临时占用防护林林地或者特种用途林林地面积不足5公顷，其他林地面积10公顷以上、不足20公顷的审批权限下放至县级。此事项是“建设工程占用、征用林地审批”的子项</w:t>
            </w:r>
          </w:p>
        </w:tc>
      </w:tr>
      <w:tr>
        <w:tblPrEx>
          <w:tblCellMar>
            <w:top w:w="15" w:type="dxa"/>
            <w:left w:w="108" w:type="dxa"/>
            <w:bottom w:w="15" w:type="dxa"/>
            <w:right w:w="108" w:type="dxa"/>
          </w:tblCellMar>
        </w:tblPrEx>
        <w:trPr>
          <w:trHeight w:val="137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3</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核桃、油茶定点采穗和定点育苗的确定</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《国家林业局关于印发〈油茶种苗质量管理规定〉的通知》（林场发〔2008〕253 号）</w:t>
            </w:r>
          </w:p>
          <w:p>
            <w:pPr>
              <w:widowControl/>
              <w:spacing w:line="240" w:lineRule="exact"/>
              <w:jc w:val="left"/>
              <w:rPr>
                <w:rFonts w:eastAsia="方正仿宋_GBK"/>
                <w:color w:val="000000"/>
                <w:kern w:val="0"/>
                <w:szCs w:val="21"/>
              </w:rPr>
            </w:pPr>
            <w:r>
              <w:rPr>
                <w:rFonts w:eastAsia="方正仿宋_GBK"/>
                <w:color w:val="000000"/>
                <w:kern w:val="0"/>
                <w:szCs w:val="21"/>
              </w:rPr>
              <w:t>《云南省核桃、油茶定点采穗和定点育苗管理办法》（云南省林业厅公告第 4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eastAsia="方正仿宋_GBK"/>
                <w:color w:val="000000"/>
                <w:kern w:val="0"/>
                <w:szCs w:val="21"/>
                <w:lang w:eastAsia="zh-CN"/>
              </w:rPr>
            </w:pPr>
            <w:r>
              <w:rPr>
                <w:rFonts w:eastAsia="方正仿宋_GBK"/>
                <w:color w:val="000000"/>
                <w:kern w:val="0"/>
                <w:szCs w:val="21"/>
              </w:rPr>
              <w:t>州</w:t>
            </w:r>
            <w:r>
              <w:rPr>
                <w:rFonts w:hint="eastAsia" w:eastAsia="方正仿宋_GBK"/>
                <w:color w:val="000000"/>
                <w:kern w:val="0"/>
                <w:szCs w:val="21"/>
                <w:lang w:eastAsia="zh-CN"/>
              </w:rPr>
              <w:t>林业和草原局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下放，将核桃定点育苗的确定权限下放至县级</w:t>
            </w:r>
          </w:p>
        </w:tc>
      </w:tr>
      <w:tr>
        <w:tblPrEx>
          <w:tblCellMar>
            <w:top w:w="15" w:type="dxa"/>
            <w:left w:w="108" w:type="dxa"/>
            <w:bottom w:w="15" w:type="dxa"/>
            <w:right w:w="108" w:type="dxa"/>
          </w:tblCellMar>
        </w:tblPrEx>
        <w:trPr>
          <w:trHeight w:val="123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4</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单用途商业预付卡备案</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其它行政权力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《单用途商业预付卡管理办法（试行）》（商务部令 2012 年第 9 号）                                                     《云南省人民政府关于调整 482 项涉及省级行政权力事项的决定》（云政发〔2020〕16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州商务局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部分下放，将规模发卡企业的单用途商业预付卡备案权限下放至县级。下放后州级负责集团发卡企业和品牌发卡企业的单用途商业预付卡备案。</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5</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人民防空工程拆除审批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《中华人民共和国人民防空法》                                                                  《国家人民防空办公室关于颁布〈人民防空工程维护管理办法〉的通知》（〔2001〕国人防办字第210号）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州住房城乡建设局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部分下放，将5级以下工程、300平方米以下5级工程和疏散支干道工程审批权限下放至县级。州级保留300平方米（含）以上5级工程、4级（含）以上工程、指挥工程和疏散干道工程的审查及上报省级的权限。</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6</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医疗机构执业登记</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《医疗机构管理条例》</w:t>
            </w:r>
          </w:p>
          <w:p>
            <w:pPr>
              <w:widowControl/>
              <w:spacing w:line="240" w:lineRule="exact"/>
              <w:jc w:val="left"/>
              <w:rPr>
                <w:rFonts w:eastAsia="方正仿宋_GBK"/>
                <w:color w:val="000000"/>
                <w:kern w:val="0"/>
                <w:szCs w:val="21"/>
              </w:rPr>
            </w:pPr>
            <w:r>
              <w:rPr>
                <w:rFonts w:eastAsia="方正仿宋_GBK"/>
                <w:color w:val="000000"/>
                <w:kern w:val="0"/>
                <w:szCs w:val="21"/>
              </w:rPr>
              <w:t>《国家卫生健康委员会 国家中医药管理局关于印发互联网诊疗管理办法（试行）等3个文件的通知》（国卫医发〔2018〕25号）《互联网医院管理办法（试行）》</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辖区范围内的二级医院、二级妇幼保健院执业登记，医疗美容门诊部执业登记，美沙酮维持治疗机构执业登记，疗养院、护理院执业登记下放至县级。州级保留辖区范围内急救中心、急救站、省级下放的医疗机构、国家规定由州（市）级卫生健康行政部门审批的其他医疗机构执业登记权限</w:t>
            </w:r>
          </w:p>
        </w:tc>
      </w:tr>
      <w:tr>
        <w:tblPrEx>
          <w:tblCellMar>
            <w:top w:w="15" w:type="dxa"/>
            <w:left w:w="108" w:type="dxa"/>
            <w:bottom w:w="15" w:type="dxa"/>
            <w:right w:w="108" w:type="dxa"/>
          </w:tblCellMar>
        </w:tblPrEx>
        <w:trPr>
          <w:trHeight w:val="180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医师执业注册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《中华人民共和国执业医师法》</w:t>
            </w:r>
          </w:p>
          <w:p>
            <w:pPr>
              <w:widowControl/>
              <w:spacing w:line="240" w:lineRule="exact"/>
              <w:jc w:val="left"/>
              <w:rPr>
                <w:rFonts w:eastAsia="方正仿宋_GBK"/>
                <w:color w:val="000000"/>
                <w:kern w:val="0"/>
                <w:szCs w:val="21"/>
              </w:rPr>
            </w:pPr>
            <w:r>
              <w:rPr>
                <w:rFonts w:eastAsia="方正仿宋_GBK"/>
                <w:color w:val="000000"/>
                <w:kern w:val="0"/>
                <w:szCs w:val="21"/>
              </w:rPr>
              <w:t>《医师执业注册管理办法》（国家卫生和计划生育委员会令第13号）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中申请执业的医师注册下放至县级。州级保留省级下放医疗机构、急救中心、急救站，以及国家规定由州（市）级卫生健康行政部门审批的其他医疗机构申请执业医师注册权限</w:t>
            </w:r>
          </w:p>
        </w:tc>
      </w:tr>
      <w:tr>
        <w:tblPrEx>
          <w:tblCellMar>
            <w:top w:w="15" w:type="dxa"/>
            <w:left w:w="108" w:type="dxa"/>
            <w:bottom w:w="15" w:type="dxa"/>
            <w:right w:w="108" w:type="dxa"/>
          </w:tblCellMar>
        </w:tblPrEx>
        <w:trPr>
          <w:trHeight w:val="1814"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8</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护士执业注册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《护士条例》</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申请护士执业注册的权限下放县级。州级保留辖区范围内急救中心、急救站、省级下放的医疗机构、国家规定由州（市）级卫生健康行政部门审批的其他医疗机构的护士执业注册</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22FC6"/>
    <w:rsid w:val="089856B9"/>
    <w:rsid w:val="22922FC6"/>
    <w:rsid w:val="2655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2021-05-19T07:04:00Z</dcterms:created>
  <dc:creator>咖啡杯里的茶</dc:creator>
  <cp:lastModifiedBy>莫米</cp:lastModifiedBy>
  <dcterms:modified xsi:type="dcterms:W3CDTF">2024-04-03T01:13:35Z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