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sz w:val="32"/>
          <w:szCs w:val="32"/>
        </w:rPr>
      </w:pPr>
      <w:r>
        <w:rPr>
          <w:rFonts w:eastAsia="方正黑体_GBK"/>
          <w:sz w:val="32"/>
          <w:szCs w:val="32"/>
        </w:rPr>
        <w:t>附件</w:t>
      </w:r>
    </w:p>
    <w:p>
      <w:pPr>
        <w:jc w:val="center"/>
        <w:rPr>
          <w:rFonts w:eastAsia="方正小标宋_GBK"/>
          <w:sz w:val="44"/>
          <w:szCs w:val="44"/>
        </w:rPr>
      </w:pPr>
      <w:r>
        <w:rPr>
          <w:rFonts w:eastAsia="方正小标宋_GBK"/>
          <w:sz w:val="44"/>
          <w:szCs w:val="44"/>
        </w:rPr>
        <w:t>德宏州自然资源领域财政事权和支出责任划分表</w:t>
      </w:r>
    </w:p>
    <w:tbl>
      <w:tblPr>
        <w:tblStyle w:val="4"/>
        <w:tblW w:w="0" w:type="auto"/>
        <w:tblInd w:w="0" w:type="dxa"/>
        <w:tblLayout w:type="fixed"/>
        <w:tblCellMar>
          <w:top w:w="0" w:type="dxa"/>
          <w:left w:w="0" w:type="dxa"/>
          <w:bottom w:w="0" w:type="dxa"/>
          <w:right w:w="0" w:type="dxa"/>
        </w:tblCellMar>
      </w:tblPr>
      <w:tblGrid>
        <w:gridCol w:w="724"/>
        <w:gridCol w:w="1276"/>
        <w:gridCol w:w="1844"/>
        <w:gridCol w:w="8306"/>
        <w:gridCol w:w="1838"/>
      </w:tblGrid>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黑体_GBK"/>
                <w:color w:val="000000"/>
                <w:sz w:val="28"/>
                <w:szCs w:val="28"/>
              </w:rPr>
            </w:pPr>
            <w:r>
              <w:rPr>
                <w:rFonts w:eastAsia="方正黑体_GBK"/>
                <w:color w:val="000000"/>
                <w:kern w:val="0"/>
                <w:sz w:val="28"/>
                <w:szCs w:val="28"/>
                <w:lang w:bidi="ar"/>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黑体_GBK"/>
                <w:color w:val="000000"/>
                <w:sz w:val="28"/>
                <w:szCs w:val="28"/>
              </w:rPr>
            </w:pPr>
            <w:r>
              <w:rPr>
                <w:rFonts w:eastAsia="方正黑体_GBK"/>
                <w:color w:val="000000"/>
                <w:kern w:val="0"/>
                <w:sz w:val="28"/>
                <w:szCs w:val="28"/>
                <w:lang w:bidi="ar"/>
              </w:rPr>
              <w:t>财政事权名称</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黑体_GBK"/>
                <w:color w:val="000000"/>
                <w:sz w:val="28"/>
                <w:szCs w:val="28"/>
              </w:rPr>
            </w:pPr>
            <w:r>
              <w:rPr>
                <w:rFonts w:eastAsia="方正黑体_GBK"/>
                <w:color w:val="000000"/>
                <w:kern w:val="0"/>
                <w:sz w:val="28"/>
                <w:szCs w:val="28"/>
                <w:lang w:bidi="ar"/>
              </w:rPr>
              <w:t>财政事权层级</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黑体_GBK"/>
                <w:color w:val="000000"/>
                <w:sz w:val="28"/>
                <w:szCs w:val="28"/>
              </w:rPr>
            </w:pPr>
            <w:r>
              <w:rPr>
                <w:rFonts w:eastAsia="方正黑体_GBK"/>
                <w:color w:val="000000"/>
                <w:kern w:val="0"/>
                <w:sz w:val="28"/>
                <w:szCs w:val="28"/>
                <w:lang w:bidi="ar"/>
              </w:rPr>
              <w:t>主要内容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黑体_GBK"/>
                <w:color w:val="000000"/>
                <w:sz w:val="28"/>
                <w:szCs w:val="28"/>
              </w:rPr>
            </w:pPr>
            <w:r>
              <w:rPr>
                <w:rFonts w:eastAsia="方正黑体_GBK"/>
                <w:color w:val="000000"/>
                <w:kern w:val="0"/>
                <w:sz w:val="28"/>
                <w:szCs w:val="28"/>
                <w:lang w:bidi="ar"/>
              </w:rPr>
              <w:t>责任划分</w:t>
            </w:r>
          </w:p>
        </w:tc>
      </w:tr>
      <w:tr>
        <w:tblPrEx>
          <w:tblCellMar>
            <w:top w:w="0" w:type="dxa"/>
            <w:left w:w="0" w:type="dxa"/>
            <w:bottom w:w="0" w:type="dxa"/>
            <w:right w:w="0" w:type="dxa"/>
          </w:tblCellMar>
        </w:tblPrEx>
        <w:trPr>
          <w:trHeight w:val="985" w:hRule="atLeast"/>
        </w:trPr>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一</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自然资源调查监测</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中央、省、省以下共同事权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全国性自然资源调查监测的组织实施，全国卫星导航定位基准服务系统建设与运行维护、安全监管等事项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中央、省、州、县市共同承担</w:t>
            </w:r>
          </w:p>
        </w:tc>
      </w:tr>
      <w:tr>
        <w:tblPrEx>
          <w:tblCellMar>
            <w:top w:w="0" w:type="dxa"/>
            <w:left w:w="0" w:type="dxa"/>
            <w:bottom w:w="0" w:type="dxa"/>
            <w:right w:w="0" w:type="dxa"/>
          </w:tblCellMar>
        </w:tblPrEx>
        <w:trPr>
          <w:trHeight w:val="835"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全省性自然资源调查监测的组织实施，全省卫星导航定位基准服务系统建设与运行维护、安全监管等事项。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省、州、县市共同承担</w:t>
            </w:r>
          </w:p>
        </w:tc>
      </w:tr>
      <w:tr>
        <w:tblPrEx>
          <w:tblCellMar>
            <w:top w:w="0" w:type="dxa"/>
            <w:left w:w="0" w:type="dxa"/>
            <w:bottom w:w="0" w:type="dxa"/>
            <w:right w:w="0" w:type="dxa"/>
          </w:tblCellMar>
        </w:tblPrEx>
        <w:trPr>
          <w:trHeight w:val="89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全州自然资源调查监测的组织实施，全州自然资源信息系统的建设与运行维护，全州基础性、公益性地质调查，全州基础测绘及地理信息管理等事项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113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县自然资源调查监测的组织实施，县自然资源信息系统的建设与运行维护，县基础性、公益性地质调查，县基础测绘及地理信息管理等事项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县级事权</w:t>
            </w:r>
          </w:p>
        </w:tc>
      </w:tr>
      <w:tr>
        <w:tblPrEx>
          <w:tblCellMar>
            <w:top w:w="0" w:type="dxa"/>
            <w:left w:w="0" w:type="dxa"/>
            <w:bottom w:w="0" w:type="dxa"/>
            <w:right w:w="0" w:type="dxa"/>
          </w:tblCellMar>
        </w:tblPrEx>
        <w:trPr>
          <w:trHeight w:val="750" w:hRule="atLeast"/>
        </w:trPr>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二</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1.自然资源确权登记</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全省性不动产登记信息系统的建设与运行维护</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省、州、县共同承担</w:t>
            </w:r>
          </w:p>
        </w:tc>
      </w:tr>
      <w:tr>
        <w:tblPrEx>
          <w:tblCellMar>
            <w:top w:w="0" w:type="dxa"/>
            <w:left w:w="0" w:type="dxa"/>
            <w:bottom w:w="0" w:type="dxa"/>
            <w:right w:w="0" w:type="dxa"/>
          </w:tblCellMar>
        </w:tblPrEx>
        <w:trPr>
          <w:trHeight w:val="9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省以下事权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全州不动产登记信息系统的建设与运行维护，州级政府部门负责的不动产登记和权籍调查州级政府部门负责的权属争议调查处理事项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r>
      <w:tr>
        <w:tblPrEx>
          <w:tblCellMar>
            <w:top w:w="0" w:type="dxa"/>
            <w:left w:w="0" w:type="dxa"/>
            <w:bottom w:w="0" w:type="dxa"/>
            <w:right w:w="0" w:type="dxa"/>
          </w:tblCellMar>
        </w:tblPrEx>
        <w:trPr>
          <w:trHeight w:val="102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县级不动产登记信息系统的建设与运行维护，县级政府部门负责的不动产登记和权籍调查，县级级政府部门负责的权属争议调查处理事项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县市级承担</w:t>
            </w:r>
          </w:p>
        </w:tc>
      </w:tr>
      <w:tr>
        <w:tblPrEx>
          <w:tblCellMar>
            <w:top w:w="0" w:type="dxa"/>
            <w:left w:w="0" w:type="dxa"/>
            <w:bottom w:w="0" w:type="dxa"/>
            <w:right w:w="0" w:type="dxa"/>
          </w:tblCellMar>
        </w:tblPrEx>
        <w:trPr>
          <w:trHeight w:val="164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2.自然资源有偿使用和权益管理</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中央、省、省以下共同事权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中央政府委托省级政府代理行使所有权的全民所有自然资源资产的统筹管理,全民所有自然资源资产的清查统计、价值评估、资产核算、考核评价及资产报告、资产负债表编制等具体管理事务，自然资源政府公示价格体系建设和等级价格监测，自然资源市场监管和动态监测，自然资源市场交易平台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中央、省、州、县市共同承担</w:t>
            </w:r>
          </w:p>
        </w:tc>
      </w:tr>
      <w:tr>
        <w:tblPrEx>
          <w:tblCellMar>
            <w:top w:w="0" w:type="dxa"/>
            <w:left w:w="0" w:type="dxa"/>
            <w:bottom w:w="0" w:type="dxa"/>
            <w:right w:w="0" w:type="dxa"/>
          </w:tblCellMar>
        </w:tblPrEx>
        <w:trPr>
          <w:trHeight w:val="155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left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省人民政府委托州政府代理行使所有权的全民所有自然资源资产的统筹管理,全民所有自然资源资产的清查统计、价值评估、资产核算、考核评价及资产报告、资产负债表编制等具体管理事务，自然资源政府公示价格体系建设和等级价格监测，自然资源市场监管和动态监测，自然资源市场交易平台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省、州、县市共同承担</w:t>
            </w:r>
          </w:p>
        </w:tc>
      </w:tr>
      <w:tr>
        <w:tblPrEx>
          <w:tblCellMar>
            <w:top w:w="0" w:type="dxa"/>
            <w:left w:w="0" w:type="dxa"/>
            <w:bottom w:w="0" w:type="dxa"/>
            <w:right w:w="0" w:type="dxa"/>
          </w:tblCellMar>
        </w:tblPrEx>
        <w:trPr>
          <w:trHeight w:val="84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left w:val="single" w:color="000000" w:sz="4" w:space="0"/>
              <w:right w:val="single" w:color="000000" w:sz="4" w:space="0"/>
            </w:tcBorders>
            <w:noWrap w:val="0"/>
            <w:tcMar>
              <w:top w:w="15" w:type="dxa"/>
              <w:left w:w="15" w:type="dxa"/>
              <w:right w:w="15" w:type="dxa"/>
            </w:tcMar>
            <w:vAlign w:val="center"/>
          </w:tcPr>
          <w:p>
            <w:pPr>
              <w:spacing w:line="300" w:lineRule="exact"/>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法律授权州级政府代理行使所有权的特定全民所有自然资源资产管理。</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845" w:hRule="atLeast"/>
        </w:trPr>
        <w:tc>
          <w:tcPr>
            <w:tcW w:w="724"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法律授权县级政府代理行使所有权的特定全民所有自然资源资产管理。</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县市级承担</w:t>
            </w:r>
          </w:p>
        </w:tc>
      </w:tr>
      <w:tr>
        <w:tblPrEx>
          <w:tblCellMar>
            <w:top w:w="0" w:type="dxa"/>
            <w:left w:w="0" w:type="dxa"/>
            <w:bottom w:w="0" w:type="dxa"/>
            <w:right w:w="0" w:type="dxa"/>
          </w:tblCellMar>
        </w:tblPrEx>
        <w:trPr>
          <w:trHeight w:val="1045" w:hRule="atLeast"/>
        </w:trPr>
        <w:tc>
          <w:tcPr>
            <w:tcW w:w="724"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三</w:t>
            </w:r>
          </w:p>
        </w:tc>
        <w:tc>
          <w:tcPr>
            <w:tcW w:w="1276"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1.国土空间规划</w:t>
            </w:r>
          </w:p>
        </w:tc>
        <w:tc>
          <w:tcPr>
            <w:tcW w:w="184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中央、省、省以下共同事权</w:t>
            </w:r>
          </w:p>
        </w:tc>
        <w:tc>
          <w:tcPr>
            <w:tcW w:w="8306" w:type="dxa"/>
            <w:tcBorders>
              <w:top w:val="nil"/>
              <w:left w:val="nil"/>
              <w:bottom w:val="nil"/>
              <w:right w:val="nil"/>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全省生态保护红线、永久基本农田、城镇开发边界等空间管控边界的划定，资源环境承载能力和国土空间开发适宜性评价等事项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中央、省、州、县市共同承担</w:t>
            </w:r>
          </w:p>
        </w:tc>
      </w:tr>
      <w:tr>
        <w:tblPrEx>
          <w:tblCellMar>
            <w:top w:w="0" w:type="dxa"/>
            <w:left w:w="0" w:type="dxa"/>
            <w:bottom w:w="0" w:type="dxa"/>
            <w:right w:w="0" w:type="dxa"/>
          </w:tblCellMar>
        </w:tblPrEx>
        <w:trPr>
          <w:trHeight w:val="1030" w:hRule="atLeast"/>
        </w:trPr>
        <w:tc>
          <w:tcPr>
            <w:tcW w:w="724"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p>
        </w:tc>
        <w:tc>
          <w:tcPr>
            <w:tcW w:w="184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w:t>
            </w:r>
            <w:r>
              <w:rPr>
                <w:rStyle w:val="6"/>
                <w:rFonts w:hint="default" w:ascii="Times New Roman" w:hAnsi="Times New Roman" w:cs="Times New Roman"/>
                <w:lang w:bidi="ar"/>
              </w:rPr>
              <w:t>级</w:t>
            </w:r>
            <w:r>
              <w:rPr>
                <w:rStyle w:val="7"/>
                <w:rFonts w:hint="default" w:ascii="Times New Roman" w:hAnsi="Times New Roman" w:cs="Times New Roman"/>
                <w:lang w:bidi="ar"/>
              </w:rPr>
              <w:t>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全</w:t>
            </w:r>
            <w:r>
              <w:rPr>
                <w:rStyle w:val="6"/>
                <w:rFonts w:hint="default" w:ascii="Times New Roman" w:hAnsi="Times New Roman" w:cs="Times New Roman"/>
                <w:lang w:bidi="ar"/>
              </w:rPr>
              <w:t>州</w:t>
            </w:r>
            <w:r>
              <w:rPr>
                <w:rStyle w:val="7"/>
                <w:rFonts w:hint="default" w:ascii="Times New Roman" w:hAnsi="Times New Roman" w:cs="Times New Roman"/>
                <w:lang w:bidi="ar"/>
              </w:rPr>
              <w:t>土空间规划及相关专项规划的编制和监督实施，相关规划、战略和制度明确由州级落实的任务。</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820" w:hRule="atLeast"/>
        </w:trPr>
        <w:tc>
          <w:tcPr>
            <w:tcW w:w="724"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县市</w:t>
            </w:r>
            <w:r>
              <w:rPr>
                <w:rStyle w:val="7"/>
                <w:rFonts w:hint="default" w:ascii="Times New Roman" w:hAnsi="Times New Roman" w:cs="Times New Roman"/>
                <w:lang w:bidi="ar"/>
              </w:rPr>
              <w:t>土空间规划及相关专项规划的编制和监督实施，相关规划、战略和制度明确由县级落实的任务。</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w:t>
            </w:r>
            <w:r>
              <w:rPr>
                <w:rStyle w:val="7"/>
                <w:rFonts w:hint="default" w:ascii="Times New Roman" w:hAnsi="Times New Roman" w:cs="Times New Roman"/>
                <w:lang w:bidi="ar"/>
              </w:rPr>
              <w:t>承担</w:t>
            </w:r>
          </w:p>
        </w:tc>
      </w:tr>
      <w:tr>
        <w:tblPrEx>
          <w:tblCellMar>
            <w:top w:w="0" w:type="dxa"/>
            <w:left w:w="0" w:type="dxa"/>
            <w:bottom w:w="0" w:type="dxa"/>
            <w:right w:w="0" w:type="dxa"/>
          </w:tblCellMar>
        </w:tblPrEx>
        <w:trPr>
          <w:trHeight w:val="875" w:hRule="atLeast"/>
        </w:trPr>
        <w:tc>
          <w:tcPr>
            <w:tcW w:w="724"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2.国土空间用途管制</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省、州、县市以下共同事权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受全省性国土空间用途管制影响而实施的生态补偿</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省、州、县市共同承担</w:t>
            </w:r>
          </w:p>
        </w:tc>
      </w:tr>
      <w:tr>
        <w:tblPrEx>
          <w:tblCellMar>
            <w:top w:w="0" w:type="dxa"/>
            <w:left w:w="0" w:type="dxa"/>
            <w:bottom w:w="0" w:type="dxa"/>
            <w:right w:w="0" w:type="dxa"/>
          </w:tblCellMar>
        </w:tblPrEx>
        <w:trPr>
          <w:trHeight w:val="90" w:hRule="atLeast"/>
        </w:trPr>
        <w:tc>
          <w:tcPr>
            <w:tcW w:w="724"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省以下国土空间用途管制，省以下自然资源年度利用计划管理，省以下行政区域内土地征收转用的管理和具体实施，受省以下国土空间用途管制影响而由州级实施的生态补偿等事项。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995" w:hRule="atLeast"/>
        </w:trPr>
        <w:tc>
          <w:tcPr>
            <w:tcW w:w="724"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州以下国土空间用途管制，州以下自然资源年度利用计划管理，州以下行政区域内土地征收转用的管理和具体实施，受州以下国土空间用途管制影响而由县级实施的生态补偿等事项。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县市级承担</w:t>
            </w:r>
          </w:p>
        </w:tc>
      </w:tr>
      <w:tr>
        <w:tblPrEx>
          <w:tblCellMar>
            <w:top w:w="0" w:type="dxa"/>
            <w:left w:w="0" w:type="dxa"/>
            <w:bottom w:w="0" w:type="dxa"/>
            <w:right w:w="0" w:type="dxa"/>
          </w:tblCellMar>
        </w:tblPrEx>
        <w:trPr>
          <w:trHeight w:val="3250" w:hRule="atLeast"/>
        </w:trPr>
        <w:tc>
          <w:tcPr>
            <w:tcW w:w="724"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四</w:t>
            </w:r>
          </w:p>
        </w:tc>
        <w:tc>
          <w:tcPr>
            <w:tcW w:w="127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生态保护修复</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中央与省、省以下共同事权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对生态安全具有重要保障作用、生态受益范围较广的重点生态保护修复（主要包括中央明确的重点区域生态保护修复治理、国土综合整治、历史遗留矿山生态修复治理、国家级自然保护地的建设与管理，林木良种培育、造林、森林抚育、退耕还林还草、林业科技推广示范及天然林、国家级公益林日常管护及保护管理,草原生态系统保护修复、草原禁牧与草畜平衡工作，湿地生态系统保护修复，荒漠生态系统治理,国家重点陆生野生动植物拯救保护和栖息地修复，珍稀濒危野生动物和极小种群野生植物拯救保护和栖息地修复）。根据建立国家公园体制试点进展情况，将国家公园建设与管理的具体事务，分类确定为中央与省、省以下共同事权，由中央与省、省以下分别承担相应的支出责任。</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中央、省、州、县市共同承担</w:t>
            </w:r>
          </w:p>
        </w:tc>
      </w:tr>
      <w:tr>
        <w:tblPrEx>
          <w:tblCellMar>
            <w:top w:w="0" w:type="dxa"/>
            <w:left w:w="0" w:type="dxa"/>
            <w:bottom w:w="0" w:type="dxa"/>
            <w:right w:w="0" w:type="dxa"/>
          </w:tblCellMar>
        </w:tblPrEx>
        <w:trPr>
          <w:trHeight w:val="90"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生态受益范围地域性较强的其他生态保护修复（主要包括重点区域外其他生态保护修复治理、国土综合整治、历史遗留矿山生态修复治理,省级自然保护地建设与管理，省级公益林日常管护及保护管理,全省森林草原湿地和荒漠资源动态监测与评价,非国家重点陆生野生动植物保护，区域性陆生野生动植物资源动态监测和评价），沿河湖、沿路、沿集镇等重点区域美化绿化，城乡绿化，森林乡村建设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省、州、县市共同承担</w:t>
            </w:r>
          </w:p>
        </w:tc>
      </w:tr>
      <w:tr>
        <w:tblPrEx>
          <w:tblCellMar>
            <w:top w:w="0" w:type="dxa"/>
            <w:left w:w="0" w:type="dxa"/>
            <w:bottom w:w="0" w:type="dxa"/>
            <w:right w:w="0" w:type="dxa"/>
          </w:tblCellMar>
        </w:tblPrEx>
        <w:trPr>
          <w:trHeight w:val="1310"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其他国土空间生态修复规划的编制，国土空间生态修复监测监管信息系统省以下的运行维护，省以下国土空间生态修复工作及项目实施情况的监督检查，省以下公益林日常管护及管护基础设施建设等事项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1505"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其他国土空间生态修复规划的编制，国土空间生态修复监测监管信息系统州以下的运行维护，州以下国土空间生态修复工作及项目实施情况的监督检查，州以下公益林日常管护及管护基础设施建设等事项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县市级承担</w:t>
            </w:r>
          </w:p>
        </w:tc>
      </w:tr>
      <w:tr>
        <w:tblPrEx>
          <w:tblCellMar>
            <w:top w:w="0" w:type="dxa"/>
            <w:left w:w="0" w:type="dxa"/>
            <w:bottom w:w="0" w:type="dxa"/>
            <w:right w:w="0" w:type="dxa"/>
          </w:tblCellMar>
        </w:tblPrEx>
        <w:trPr>
          <w:trHeight w:val="1080" w:hRule="atLeast"/>
        </w:trPr>
        <w:tc>
          <w:tcPr>
            <w:tcW w:w="724"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五</w:t>
            </w:r>
          </w:p>
        </w:tc>
        <w:tc>
          <w:tcPr>
            <w:tcW w:w="127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自然资源安全</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中央与省、省以下共同事权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全国耕地和永久基本农田保护监管，矿业权管理，矿产资源储量管理，地质资料管理，国家版图与地理信息安全等事项。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中央、省、州、县共同承担</w:t>
            </w:r>
          </w:p>
        </w:tc>
      </w:tr>
      <w:tr>
        <w:tblPrEx>
          <w:tblCellMar>
            <w:top w:w="0" w:type="dxa"/>
            <w:left w:w="0" w:type="dxa"/>
            <w:bottom w:w="0" w:type="dxa"/>
            <w:right w:w="0" w:type="dxa"/>
          </w:tblCellMar>
        </w:tblPrEx>
        <w:trPr>
          <w:trHeight w:val="950"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省以下行政区域内的土地、矿产等自然资源节约集约利用,省以下林业地方优势特色产业发展。</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860"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州以下行政区域内的土地、矿产等自然资源节约集约利用,州以下林业地方优势特色产业发展。</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县市级承担</w:t>
            </w:r>
          </w:p>
        </w:tc>
      </w:tr>
      <w:tr>
        <w:tblPrEx>
          <w:tblCellMar>
            <w:top w:w="0" w:type="dxa"/>
            <w:left w:w="0" w:type="dxa"/>
            <w:bottom w:w="0" w:type="dxa"/>
            <w:right w:w="0" w:type="dxa"/>
          </w:tblCellMar>
        </w:tblPrEx>
        <w:trPr>
          <w:trHeight w:val="2365" w:hRule="atLeast"/>
        </w:trPr>
        <w:tc>
          <w:tcPr>
            <w:tcW w:w="724"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六</w:t>
            </w:r>
          </w:p>
        </w:tc>
        <w:tc>
          <w:tcPr>
            <w:tcW w:w="127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自然资源领域灾害防治</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中央与省、省以下共同事权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因自然因素造成的特大型地质灾害综合治理，重点区域地质灾害调查评价、监测预警等综合防治体系和防治能力建设，地质灾害应急救援的技术支撑及应急测绘保障工作，地下水过量开采及引发的地面沉降等地质问题监管，跨国境跨区域和重点国有林区、中央直接管理和中央与地方共同管理的国家级自然保护地等关键区域林业草原防灾减灾，跨区域特别重大野生动植物疫病监测防控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中央、省、州、县市共同承担</w:t>
            </w:r>
          </w:p>
        </w:tc>
      </w:tr>
      <w:tr>
        <w:tblPrEx>
          <w:tblCellMar>
            <w:top w:w="0" w:type="dxa"/>
            <w:left w:w="0" w:type="dxa"/>
            <w:bottom w:w="0" w:type="dxa"/>
            <w:right w:w="0" w:type="dxa"/>
          </w:tblCellMar>
        </w:tblPrEx>
        <w:trPr>
          <w:trHeight w:val="1660"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省、省以下共同事权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因自然因素造成的其他地质灾害综合治理、搬迁避让，全省地质灾害调查与风险评价、隐患排查巡查核查、应急救援技术支撑体系建设，地质灾害群测群防、监测预警、气象风险预报预警的建设与监督管理，野生动植物疫病监测防控，野生动物肇事补偿，其他林业草原防灾减灾等事项。</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省、州、县市共同承担</w:t>
            </w:r>
          </w:p>
        </w:tc>
      </w:tr>
      <w:tr>
        <w:tblPrEx>
          <w:tblCellMar>
            <w:top w:w="0" w:type="dxa"/>
            <w:left w:w="0" w:type="dxa"/>
            <w:bottom w:w="0" w:type="dxa"/>
            <w:right w:w="0" w:type="dxa"/>
          </w:tblCellMar>
        </w:tblPrEx>
        <w:trPr>
          <w:trHeight w:val="870" w:hRule="atLeast"/>
        </w:trPr>
        <w:tc>
          <w:tcPr>
            <w:tcW w:w="724"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七</w:t>
            </w:r>
          </w:p>
        </w:tc>
        <w:tc>
          <w:tcPr>
            <w:tcW w:w="127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8"/>
                <w:szCs w:val="28"/>
              </w:rPr>
            </w:pPr>
            <w:r>
              <w:rPr>
                <w:rFonts w:eastAsia="方正仿宋_GBK"/>
                <w:color w:val="000000"/>
                <w:kern w:val="0"/>
                <w:sz w:val="28"/>
                <w:szCs w:val="28"/>
                <w:lang w:bidi="ar"/>
              </w:rPr>
              <w:t>自然资源领域其他事项</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研究制定省以下自然资源领域法规、规划、政策、标准、技术规范等，其他自然资源领域督察、执法检查、案件查处。</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州级承担</w:t>
            </w:r>
          </w:p>
        </w:tc>
      </w:tr>
      <w:tr>
        <w:tblPrEx>
          <w:tblCellMar>
            <w:top w:w="0" w:type="dxa"/>
            <w:left w:w="0" w:type="dxa"/>
            <w:bottom w:w="0" w:type="dxa"/>
            <w:right w:w="0" w:type="dxa"/>
          </w:tblCellMar>
        </w:tblPrEx>
        <w:trPr>
          <w:trHeight w:val="975" w:hRule="atLeast"/>
        </w:trPr>
        <w:tc>
          <w:tcPr>
            <w:tcW w:w="724"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27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00" w:lineRule="exact"/>
              <w:jc w:val="center"/>
              <w:rPr>
                <w:rFonts w:eastAsia="方正仿宋_GBK"/>
                <w:color w:val="000000"/>
                <w:sz w:val="28"/>
                <w:szCs w:val="2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县市级事权</w:t>
            </w:r>
          </w:p>
        </w:tc>
        <w:tc>
          <w:tcPr>
            <w:tcW w:w="8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仿宋_GBK"/>
                <w:color w:val="000000"/>
                <w:sz w:val="28"/>
                <w:szCs w:val="28"/>
              </w:rPr>
            </w:pPr>
            <w:r>
              <w:rPr>
                <w:rFonts w:eastAsia="方正仿宋_GBK"/>
                <w:color w:val="000000"/>
                <w:kern w:val="0"/>
                <w:sz w:val="28"/>
                <w:szCs w:val="28"/>
                <w:lang w:bidi="ar"/>
              </w:rPr>
              <w:t>研究制定州以下自然资源领域法规、规划、政策、标准、技术规范等，其他自然资源领域督察、执法检查、案件查处。</w:t>
            </w:r>
          </w:p>
        </w:tc>
        <w:tc>
          <w:tcPr>
            <w:tcW w:w="1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方正仿宋_GBK"/>
                <w:color w:val="000000"/>
                <w:sz w:val="28"/>
                <w:szCs w:val="28"/>
              </w:rPr>
            </w:pPr>
            <w:r>
              <w:rPr>
                <w:rFonts w:eastAsia="方正仿宋_GBK"/>
                <w:color w:val="000000"/>
                <w:kern w:val="0"/>
                <w:sz w:val="28"/>
                <w:szCs w:val="28"/>
                <w:lang w:bidi="ar"/>
              </w:rPr>
              <w:t>县市级承担</w:t>
            </w:r>
          </w:p>
        </w:tc>
      </w:tr>
    </w:tbl>
    <w:p>
      <w:pPr>
        <w:spacing w:line="300" w:lineRule="exact"/>
      </w:pPr>
    </w:p>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46E9B"/>
    <w:rsid w:val="43C46E9B"/>
    <w:rsid w:val="45805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rPr>
      <w:rFonts w:ascii="黑体" w:hAnsi="Calibri" w:eastAsia="黑体" w:cs="Times New Roman"/>
      <w:sz w:val="32"/>
      <w:szCs w:val="32"/>
    </w:rPr>
  </w:style>
  <w:style w:type="paragraph" w:styleId="3">
    <w:name w:val="footer"/>
    <w:basedOn w:val="1"/>
    <w:uiPriority w:val="0"/>
    <w:pPr>
      <w:tabs>
        <w:tab w:val="center" w:pos="4153"/>
        <w:tab w:val="right" w:pos="8306"/>
      </w:tabs>
      <w:snapToGrid w:val="0"/>
      <w:jc w:val="left"/>
    </w:pPr>
    <w:rPr>
      <w:rFonts w:ascii="Calibri" w:hAnsi="Calibri"/>
      <w:sz w:val="18"/>
    </w:rPr>
  </w:style>
  <w:style w:type="character" w:customStyle="1" w:styleId="6">
    <w:name w:val="font01"/>
    <w:uiPriority w:val="0"/>
    <w:rPr>
      <w:rFonts w:hint="eastAsia" w:ascii="方正仿宋_GBK" w:hAnsi="方正仿宋_GBK" w:eastAsia="方正仿宋_GBK" w:cs="方正仿宋_GBK"/>
      <w:color w:val="000000"/>
      <w:sz w:val="28"/>
      <w:szCs w:val="28"/>
      <w:u w:val="none"/>
    </w:rPr>
  </w:style>
  <w:style w:type="character" w:customStyle="1" w:styleId="7">
    <w:name w:val="font11"/>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2021-12-21T03:35:00Z</dcterms:created>
  <dc:creator>咖啡杯里的茶</dc:creator>
  <cp:lastModifiedBy>咖啡杯里的茶</cp:lastModifiedBy>
  <dcterms:modified xsi:type="dcterms:W3CDTF">2021-12-21T03:37:39Z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