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 w:val="left" w:pos="3360"/>
        </w:tabs>
        <w:topLinePunct/>
        <w:adjustRightInd w:val="0"/>
        <w:snapToGrid w:val="0"/>
        <w:spacing w:line="680" w:lineRule="exact"/>
        <w:rPr>
          <w:rFonts w:eastAsia="方正黑体_GBK"/>
          <w:sz w:val="32"/>
          <w:szCs w:val="32"/>
        </w:rPr>
      </w:pPr>
      <w:r>
        <w:rPr>
          <w:rFonts w:eastAsia="方正黑体_GBK"/>
          <w:sz w:val="32"/>
          <w:szCs w:val="32"/>
        </w:rPr>
        <w:t>附件</w:t>
      </w:r>
    </w:p>
    <w:p>
      <w:pPr>
        <w:pStyle w:val="4"/>
        <w:adjustRightInd w:val="0"/>
        <w:snapToGrid w:val="0"/>
        <w:spacing w:before="0" w:beforeAutospacing="0" w:after="0" w:afterAutospacing="0" w:line="680" w:lineRule="exact"/>
        <w:jc w:val="center"/>
        <w:rPr>
          <w:rStyle w:val="7"/>
          <w:rFonts w:eastAsia="方正小标宋_GBK"/>
          <w:b w:val="0"/>
          <w:bCs w:val="0"/>
          <w:sz w:val="44"/>
          <w:szCs w:val="44"/>
        </w:rPr>
      </w:pPr>
      <w:r>
        <w:rPr>
          <w:rStyle w:val="7"/>
          <w:rFonts w:eastAsia="方正小标宋_GBK"/>
          <w:b w:val="0"/>
          <w:bCs w:val="0"/>
          <w:sz w:val="44"/>
          <w:szCs w:val="44"/>
        </w:rPr>
        <w:t>德宏州生态环境领域财政事权和支出责任划分表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8"/>
        <w:gridCol w:w="1043"/>
        <w:gridCol w:w="7731"/>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tblHeader/>
          <w:jc w:val="center"/>
        </w:trPr>
        <w:tc>
          <w:tcPr>
            <w:tcW w:w="2531" w:type="dxa"/>
            <w:gridSpan w:val="2"/>
            <w:noWrap w:val="0"/>
            <w:tcMar>
              <w:top w:w="15" w:type="dxa"/>
              <w:left w:w="15" w:type="dxa"/>
              <w:right w:w="15" w:type="dxa"/>
            </w:tcMar>
            <w:vAlign w:val="center"/>
          </w:tcPr>
          <w:p>
            <w:pPr>
              <w:widowControl/>
              <w:snapToGrid w:val="0"/>
              <w:spacing w:line="380" w:lineRule="exact"/>
              <w:jc w:val="center"/>
              <w:textAlignment w:val="center"/>
              <w:rPr>
                <w:rFonts w:eastAsia="方正黑体_GBK"/>
                <w:color w:val="000000"/>
                <w:sz w:val="32"/>
                <w:szCs w:val="32"/>
              </w:rPr>
            </w:pPr>
            <w:r>
              <w:rPr>
                <w:rFonts w:eastAsia="方正黑体_GBK"/>
                <w:color w:val="000000"/>
                <w:kern w:val="0"/>
                <w:sz w:val="32"/>
                <w:szCs w:val="32"/>
                <w:lang w:bidi="ar"/>
              </w:rPr>
              <w:t>财政事权</w:t>
            </w:r>
          </w:p>
        </w:tc>
        <w:tc>
          <w:tcPr>
            <w:tcW w:w="7731" w:type="dxa"/>
            <w:noWrap w:val="0"/>
            <w:tcMar>
              <w:top w:w="15" w:type="dxa"/>
              <w:left w:w="15" w:type="dxa"/>
              <w:right w:w="15" w:type="dxa"/>
            </w:tcMar>
            <w:vAlign w:val="center"/>
          </w:tcPr>
          <w:p>
            <w:pPr>
              <w:widowControl/>
              <w:snapToGrid w:val="0"/>
              <w:spacing w:line="380" w:lineRule="exact"/>
              <w:jc w:val="center"/>
              <w:textAlignment w:val="center"/>
              <w:rPr>
                <w:rFonts w:eastAsia="方正黑体_GBK"/>
                <w:color w:val="000000"/>
                <w:sz w:val="32"/>
                <w:szCs w:val="32"/>
              </w:rPr>
            </w:pPr>
            <w:r>
              <w:rPr>
                <w:rFonts w:eastAsia="方正黑体_GBK"/>
                <w:color w:val="000000"/>
                <w:kern w:val="0"/>
                <w:sz w:val="32"/>
                <w:szCs w:val="32"/>
                <w:lang w:bidi="ar"/>
              </w:rPr>
              <w:t>主要内容和职责</w:t>
            </w:r>
          </w:p>
        </w:tc>
        <w:tc>
          <w:tcPr>
            <w:tcW w:w="3723" w:type="dxa"/>
            <w:noWrap w:val="0"/>
            <w:tcMar>
              <w:top w:w="15" w:type="dxa"/>
              <w:left w:w="15" w:type="dxa"/>
              <w:right w:w="15" w:type="dxa"/>
            </w:tcMar>
            <w:vAlign w:val="center"/>
          </w:tcPr>
          <w:p>
            <w:pPr>
              <w:widowControl/>
              <w:snapToGrid w:val="0"/>
              <w:spacing w:line="380" w:lineRule="exact"/>
              <w:jc w:val="center"/>
              <w:textAlignment w:val="center"/>
              <w:rPr>
                <w:rFonts w:eastAsia="方正黑体_GBK"/>
                <w:color w:val="000000"/>
                <w:sz w:val="32"/>
                <w:szCs w:val="32"/>
              </w:rPr>
            </w:pPr>
            <w:r>
              <w:rPr>
                <w:rFonts w:eastAsia="方正黑体_GBK"/>
                <w:color w:val="000000"/>
                <w:kern w:val="0"/>
                <w:sz w:val="32"/>
                <w:szCs w:val="32"/>
                <w:lang w:bidi="ar"/>
              </w:rPr>
              <w:t>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jc w:val="center"/>
        </w:trPr>
        <w:tc>
          <w:tcPr>
            <w:tcW w:w="13985" w:type="dxa"/>
            <w:gridSpan w:val="4"/>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一、州级财政事权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2" w:hRule="atLeast"/>
          <w:jc w:val="center"/>
        </w:trPr>
        <w:tc>
          <w:tcPr>
            <w:tcW w:w="2531" w:type="dxa"/>
            <w:gridSpan w:val="2"/>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（一）生态环境规划制度制定</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sz w:val="32"/>
                <w:szCs w:val="32"/>
              </w:rPr>
              <w:t>全州性生态环境综合规划及各专项规划</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州级承担支出责任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6" w:hRule="atLeast"/>
          <w:jc w:val="center"/>
        </w:trPr>
        <w:tc>
          <w:tcPr>
            <w:tcW w:w="2531" w:type="dxa"/>
            <w:gridSpan w:val="2"/>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（二）生态环境监测与执法</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sz w:val="32"/>
                <w:szCs w:val="32"/>
              </w:rPr>
              <w:t>全州性生态环境执法检查、生态环境质量责任落实情况监督检查、配合中央及省级开展生态环境督察，瑞丽市酸雨监测，“三江四河”入河排污口监测、</w:t>
            </w:r>
            <w:r>
              <w:rPr>
                <w:rFonts w:eastAsia="方正仿宋_GBK"/>
                <w:sz w:val="32"/>
                <w:szCs w:val="32"/>
              </w:rPr>
              <w:t>辐射环境监测州控点监测、</w:t>
            </w:r>
            <w:r>
              <w:rPr>
                <w:rFonts w:eastAsia="方正仿宋_GBK"/>
                <w:color w:val="000000"/>
                <w:sz w:val="32"/>
                <w:szCs w:val="32"/>
              </w:rPr>
              <w:t>交通污染专项监测、</w:t>
            </w:r>
            <w:r>
              <w:rPr>
                <w:rFonts w:eastAsia="方正仿宋_GBK"/>
                <w:sz w:val="32"/>
                <w:szCs w:val="32"/>
              </w:rPr>
              <w:t>跨县市生态环境监测网络体系建设与运行维护。</w:t>
            </w:r>
          </w:p>
          <w:p>
            <w:pPr>
              <w:widowControl/>
              <w:snapToGrid w:val="0"/>
              <w:spacing w:line="380" w:lineRule="exact"/>
              <w:jc w:val="left"/>
              <w:textAlignment w:val="center"/>
              <w:rPr>
                <w:rFonts w:eastAsia="方正仿宋_GBK"/>
                <w:color w:val="000000"/>
                <w:sz w:val="32"/>
                <w:szCs w:val="32"/>
              </w:rPr>
            </w:pP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州级承担支出责任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31" w:hRule="atLeast"/>
          <w:jc w:val="center"/>
        </w:trPr>
        <w:tc>
          <w:tcPr>
            <w:tcW w:w="2531" w:type="dxa"/>
            <w:gridSpan w:val="2"/>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（三）生态环境管理事务与能力建设</w:t>
            </w:r>
          </w:p>
        </w:tc>
        <w:tc>
          <w:tcPr>
            <w:tcW w:w="7731" w:type="dxa"/>
            <w:noWrap w:val="0"/>
            <w:tcMar>
              <w:top w:w="15" w:type="dxa"/>
              <w:left w:w="15" w:type="dxa"/>
              <w:right w:w="15" w:type="dxa"/>
            </w:tcMar>
            <w:vAlign w:val="center"/>
          </w:tcPr>
          <w:p>
            <w:pPr>
              <w:widowControl/>
              <w:snapToGrid w:val="0"/>
              <w:spacing w:before="478" w:beforeLines="150" w:after="1113" w:afterLines="349"/>
              <w:jc w:val="left"/>
              <w:textAlignment w:val="center"/>
              <w:rPr>
                <w:rFonts w:eastAsia="方正仿宋_GBK"/>
                <w:color w:val="000000"/>
                <w:sz w:val="32"/>
                <w:szCs w:val="32"/>
              </w:rPr>
            </w:pPr>
            <w:r>
              <w:rPr>
                <w:rFonts w:eastAsia="方正仿宋_GBK"/>
                <w:color w:val="000000"/>
                <w:sz w:val="32"/>
                <w:szCs w:val="32"/>
              </w:rPr>
              <w:t>州级生态环境部门及各县市生态环境分局负责的规划和建设项目的环境影响评价管理、生态环境准入的管理；根据属地管理原则将国家、省、州生态环境部门审批的规划和建设项目的事中事后监管；全州重点污染物减排和环境质量改善、全州入河排污口设置管理、全州控制温室气体排放，全州生态文明建设目标评估考核，全州控制污染物排放许可制、排污权有偿使用和交易、碳排放权交易的统一监督管理，全州生态环境普查、统计、专项调查评估和观测，州级生态环境部门及各县市生态环境分局负责的核与辐射安全监督管理，</w:t>
            </w:r>
            <w:r>
              <w:rPr>
                <w:rFonts w:eastAsia="方正仿宋_GBK"/>
                <w:sz w:val="32"/>
                <w:szCs w:val="32"/>
              </w:rPr>
              <w:t>州级推广的生态环境保护新技术试点和污染物治理新方式应用示范</w:t>
            </w:r>
            <w:r>
              <w:rPr>
                <w:rFonts w:eastAsia="方正仿宋_GBK"/>
                <w:color w:val="000000"/>
                <w:sz w:val="32"/>
                <w:szCs w:val="32"/>
              </w:rPr>
              <w:t>，全州和跨县市区域性的生态保护修复的指导协调和监督，全州生态环境宣传教育、环境信息发布等事项，</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州级承担支出责任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531" w:type="dxa"/>
            <w:gridSpan w:val="2"/>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sz w:val="32"/>
                <w:szCs w:val="32"/>
              </w:rPr>
              <w:t>（四）环境污染防治</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sz w:val="32"/>
                <w:szCs w:val="32"/>
              </w:rPr>
              <w:t>重点流域水污染防治</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州级承担支出责任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531" w:type="dxa"/>
            <w:gridSpan w:val="2"/>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（五）生态环境领域其他事项</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sz w:val="32"/>
                <w:szCs w:val="32"/>
              </w:rPr>
              <w:t>研究制定生态环境领域全州性、跨县市区域的法规、规章、政策、标准、技术规范等事项，跨县市国际生态环境合作交流有关事项，</w:t>
            </w:r>
            <w:r>
              <w:rPr>
                <w:rFonts w:eastAsia="方正仿宋_GBK"/>
                <w:sz w:val="32"/>
                <w:szCs w:val="32"/>
              </w:rPr>
              <w:t>州级负责的生态环境领域国际合作交流有关事项。</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州级承担支出责任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2531" w:type="dxa"/>
            <w:gridSpan w:val="2"/>
            <w:noWrap w:val="0"/>
            <w:tcMar>
              <w:top w:w="15" w:type="dxa"/>
              <w:left w:w="15" w:type="dxa"/>
              <w:right w:w="15" w:type="dxa"/>
            </w:tcMar>
            <w:vAlign w:val="center"/>
          </w:tcPr>
          <w:p>
            <w:pPr>
              <w:pStyle w:val="2"/>
              <w:spacing w:after="0" w:line="590" w:lineRule="exact"/>
              <w:rPr>
                <w:rFonts w:eastAsia="方正仿宋_GBK"/>
                <w:color w:val="0070C0"/>
                <w:sz w:val="32"/>
                <w:szCs w:val="32"/>
                <w:lang w:val="en-US" w:eastAsia="zh-CN"/>
              </w:rPr>
            </w:pPr>
            <w:r>
              <w:rPr>
                <w:rFonts w:eastAsia="方正仿宋_GBK"/>
                <w:color w:val="000000"/>
                <w:kern w:val="0"/>
                <w:sz w:val="32"/>
                <w:szCs w:val="32"/>
                <w:lang w:val="en-US" w:eastAsia="zh-CN" w:bidi="ar"/>
              </w:rPr>
              <w:t>（六）其他污染防治</w:t>
            </w:r>
          </w:p>
        </w:tc>
        <w:tc>
          <w:tcPr>
            <w:tcW w:w="7731" w:type="dxa"/>
            <w:noWrap w:val="0"/>
            <w:tcMar>
              <w:top w:w="15" w:type="dxa"/>
              <w:left w:w="15" w:type="dxa"/>
              <w:right w:w="15" w:type="dxa"/>
            </w:tcMar>
            <w:vAlign w:val="center"/>
          </w:tcPr>
          <w:p>
            <w:pPr>
              <w:pStyle w:val="2"/>
              <w:spacing w:after="0" w:line="590" w:lineRule="exact"/>
              <w:rPr>
                <w:rFonts w:eastAsia="方正仿宋_GBK"/>
                <w:color w:val="0070C0"/>
                <w:sz w:val="32"/>
                <w:szCs w:val="32"/>
                <w:lang w:val="en-US" w:eastAsia="zh-CN"/>
              </w:rPr>
            </w:pPr>
            <w:r>
              <w:rPr>
                <w:rFonts w:eastAsia="方正仿宋_GBK"/>
                <w:color w:val="000000"/>
                <w:sz w:val="32"/>
                <w:szCs w:val="32"/>
                <w:lang w:val="en-US" w:eastAsia="zh-CN"/>
              </w:rPr>
              <w:t>放射性污染防治</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kern w:val="0"/>
                <w:sz w:val="32"/>
                <w:szCs w:val="32"/>
                <w:lang w:bidi="ar"/>
              </w:rPr>
            </w:pPr>
            <w:r>
              <w:rPr>
                <w:rFonts w:eastAsia="方正仿宋_GBK"/>
                <w:color w:val="000000"/>
                <w:kern w:val="0"/>
                <w:sz w:val="32"/>
                <w:szCs w:val="32"/>
                <w:lang w:bidi="ar"/>
              </w:rPr>
              <w:t>州级承担支出责任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13985" w:type="dxa"/>
            <w:gridSpan w:val="4"/>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二、共同财政事权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jc w:val="center"/>
        </w:trPr>
        <w:tc>
          <w:tcPr>
            <w:tcW w:w="1488" w:type="dxa"/>
            <w:vMerge w:val="restart"/>
            <w:noWrap w:val="0"/>
            <w:tcMar>
              <w:top w:w="15" w:type="dxa"/>
              <w:left w:w="15" w:type="dxa"/>
              <w:right w:w="15" w:type="dxa"/>
            </w:tcMar>
            <w:vAlign w:val="center"/>
          </w:tcPr>
          <w:p>
            <w:pPr>
              <w:widowControl/>
              <w:snapToGrid w:val="0"/>
              <w:spacing w:line="380" w:lineRule="exact"/>
              <w:jc w:val="center"/>
              <w:textAlignment w:val="center"/>
              <w:rPr>
                <w:rFonts w:eastAsia="方正仿宋_GBK"/>
                <w:color w:val="000000"/>
                <w:sz w:val="32"/>
                <w:szCs w:val="32"/>
              </w:rPr>
            </w:pPr>
            <w:r>
              <w:rPr>
                <w:rFonts w:eastAsia="方正仿宋_GBK"/>
                <w:color w:val="000000"/>
                <w:kern w:val="0"/>
                <w:sz w:val="32"/>
                <w:szCs w:val="32"/>
                <w:lang w:bidi="ar"/>
              </w:rPr>
              <w:t>环境污染防治</w:t>
            </w:r>
          </w:p>
        </w:tc>
        <w:tc>
          <w:tcPr>
            <w:tcW w:w="1043" w:type="dxa"/>
            <w:noWrap w:val="0"/>
            <w:tcMar>
              <w:top w:w="15" w:type="dxa"/>
              <w:left w:w="15" w:type="dxa"/>
              <w:right w:w="15" w:type="dxa"/>
            </w:tcMar>
            <w:vAlign w:val="center"/>
          </w:tcPr>
          <w:p>
            <w:pPr>
              <w:widowControl/>
              <w:snapToGrid w:val="0"/>
              <w:spacing w:line="380" w:lineRule="exact"/>
              <w:jc w:val="center"/>
              <w:textAlignment w:val="center"/>
              <w:rPr>
                <w:rFonts w:eastAsia="方正仿宋_GBK"/>
                <w:color w:val="000000"/>
                <w:kern w:val="0"/>
                <w:sz w:val="32"/>
                <w:szCs w:val="32"/>
                <w:lang w:bidi="ar"/>
              </w:rPr>
            </w:pPr>
            <w:r>
              <w:rPr>
                <w:rFonts w:eastAsia="方正仿宋_GBK"/>
                <w:color w:val="000000"/>
                <w:kern w:val="0"/>
                <w:sz w:val="32"/>
                <w:szCs w:val="32"/>
                <w:lang w:bidi="ar"/>
              </w:rPr>
              <w:t>1.水污染防治</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瑞丽江、大盈江、怒江流域范围内及跨县市的重点流域水污染防治。</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州级、县市共同承担支出责任（</w:t>
            </w:r>
            <w:r>
              <w:rPr>
                <w:rFonts w:eastAsia="方正仿宋_GBK"/>
                <w:sz w:val="32"/>
                <w:szCs w:val="32"/>
              </w:rPr>
              <w:t>按州与县财政管理体制相关规定分担</w:t>
            </w:r>
            <w:r>
              <w:rPr>
                <w:rFonts w:eastAsia="方正仿宋_GBK"/>
                <w:color w:val="000000"/>
                <w:kern w:val="0"/>
                <w:sz w:val="32"/>
                <w:szCs w:val="32"/>
                <w:lang w:bidi="ar"/>
              </w:rPr>
              <w:t>），积极争取中央在事权和支出责任划分方面给予支持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jc w:val="center"/>
        </w:trPr>
        <w:tc>
          <w:tcPr>
            <w:tcW w:w="1488" w:type="dxa"/>
            <w:vMerge w:val="continue"/>
            <w:noWrap w:val="0"/>
            <w:tcMar>
              <w:top w:w="15" w:type="dxa"/>
              <w:left w:w="15" w:type="dxa"/>
              <w:right w:w="15" w:type="dxa"/>
            </w:tcMar>
            <w:vAlign w:val="center"/>
          </w:tcPr>
          <w:p>
            <w:pPr>
              <w:snapToGrid w:val="0"/>
              <w:spacing w:line="380" w:lineRule="exact"/>
              <w:jc w:val="center"/>
              <w:rPr>
                <w:rFonts w:eastAsia="方正仿宋_GBK"/>
                <w:color w:val="000000"/>
                <w:sz w:val="32"/>
                <w:szCs w:val="32"/>
              </w:rPr>
            </w:pPr>
          </w:p>
        </w:tc>
        <w:tc>
          <w:tcPr>
            <w:tcW w:w="1043" w:type="dxa"/>
            <w:noWrap w:val="0"/>
            <w:tcMar>
              <w:top w:w="15" w:type="dxa"/>
              <w:left w:w="15" w:type="dxa"/>
              <w:right w:w="15" w:type="dxa"/>
            </w:tcMar>
            <w:vAlign w:val="center"/>
          </w:tcPr>
          <w:p>
            <w:pPr>
              <w:snapToGrid w:val="0"/>
              <w:spacing w:line="380" w:lineRule="exact"/>
              <w:jc w:val="center"/>
              <w:rPr>
                <w:rFonts w:eastAsia="方正仿宋_GBK"/>
                <w:color w:val="000000"/>
                <w:sz w:val="32"/>
                <w:szCs w:val="32"/>
              </w:rPr>
            </w:pPr>
            <w:r>
              <w:rPr>
                <w:rFonts w:eastAsia="方正仿宋_GBK"/>
                <w:color w:val="000000"/>
                <w:kern w:val="0"/>
                <w:sz w:val="32"/>
                <w:szCs w:val="32"/>
                <w:lang w:bidi="ar"/>
              </w:rPr>
              <w:t>2.大气污染防治</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影响重大的重点区域大气污染防治，对影响较大的跨县市区域性大气污染防治。</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州级、县市共同承担支出责任</w:t>
            </w:r>
            <w:r>
              <w:rPr>
                <w:rFonts w:eastAsia="方正仿宋_GBK"/>
                <w:sz w:val="32"/>
                <w:szCs w:val="32"/>
              </w:rPr>
              <w:t>（按州与县财政管理体制相关规定分担）</w:t>
            </w:r>
            <w:r>
              <w:rPr>
                <w:rFonts w:eastAsia="方正仿宋_GBK"/>
                <w:color w:val="000000"/>
                <w:kern w:val="0"/>
                <w:sz w:val="32"/>
                <w:szCs w:val="32"/>
                <w:lang w:bidi="ar"/>
              </w:rPr>
              <w:t>，中央、省级通过转移支付给予支持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5" w:hRule="atLeast"/>
          <w:jc w:val="center"/>
        </w:trPr>
        <w:tc>
          <w:tcPr>
            <w:tcW w:w="1488" w:type="dxa"/>
            <w:vMerge w:val="continue"/>
            <w:noWrap w:val="0"/>
            <w:tcMar>
              <w:top w:w="15" w:type="dxa"/>
              <w:left w:w="15" w:type="dxa"/>
              <w:right w:w="15" w:type="dxa"/>
            </w:tcMar>
            <w:vAlign w:val="center"/>
          </w:tcPr>
          <w:p>
            <w:pPr>
              <w:snapToGrid w:val="0"/>
              <w:spacing w:line="380" w:lineRule="exact"/>
              <w:jc w:val="center"/>
              <w:rPr>
                <w:rFonts w:eastAsia="方正仿宋_GBK"/>
                <w:color w:val="000000"/>
                <w:sz w:val="32"/>
                <w:szCs w:val="32"/>
              </w:rPr>
            </w:pPr>
          </w:p>
        </w:tc>
        <w:tc>
          <w:tcPr>
            <w:tcW w:w="1043" w:type="dxa"/>
            <w:noWrap w:val="0"/>
            <w:tcMar>
              <w:top w:w="15" w:type="dxa"/>
              <w:left w:w="15" w:type="dxa"/>
              <w:right w:w="15" w:type="dxa"/>
            </w:tcMar>
            <w:vAlign w:val="center"/>
          </w:tcPr>
          <w:p>
            <w:pPr>
              <w:snapToGrid w:val="0"/>
              <w:spacing w:line="380" w:lineRule="exact"/>
              <w:jc w:val="center"/>
              <w:rPr>
                <w:rFonts w:eastAsia="方正仿宋_GBK"/>
                <w:color w:val="000000"/>
                <w:sz w:val="32"/>
                <w:szCs w:val="32"/>
              </w:rPr>
            </w:pPr>
            <w:r>
              <w:rPr>
                <w:rFonts w:eastAsia="方正仿宋_GBK"/>
                <w:color w:val="000000"/>
                <w:kern w:val="0"/>
                <w:sz w:val="32"/>
                <w:szCs w:val="32"/>
                <w:lang w:bidi="ar"/>
              </w:rPr>
              <w:t>3.土壤污染防治</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影响较大的跨县市区域性污染防治</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由州级与县市共同承担支出责任</w:t>
            </w:r>
            <w:r>
              <w:rPr>
                <w:rFonts w:eastAsia="方正仿宋_GBK"/>
                <w:sz w:val="32"/>
                <w:szCs w:val="32"/>
              </w:rPr>
              <w:t>（按州与县财政管理体制相关规定分担）</w:t>
            </w:r>
            <w:r>
              <w:rPr>
                <w:rFonts w:eastAsia="方正仿宋_GBK"/>
                <w:color w:val="000000"/>
                <w:kern w:val="0"/>
                <w:sz w:val="32"/>
                <w:szCs w:val="32"/>
                <w:lang w:bidi="ar"/>
              </w:rPr>
              <w:t>，中央、省级通过转移支付给予支持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3" w:hRule="atLeast"/>
          <w:jc w:val="center"/>
        </w:trPr>
        <w:tc>
          <w:tcPr>
            <w:tcW w:w="1488" w:type="dxa"/>
            <w:vMerge w:val="continue"/>
            <w:noWrap w:val="0"/>
            <w:tcMar>
              <w:top w:w="15" w:type="dxa"/>
              <w:left w:w="15" w:type="dxa"/>
              <w:right w:w="15" w:type="dxa"/>
            </w:tcMar>
            <w:vAlign w:val="center"/>
          </w:tcPr>
          <w:p>
            <w:pPr>
              <w:snapToGrid w:val="0"/>
              <w:spacing w:line="380" w:lineRule="exact"/>
              <w:jc w:val="center"/>
              <w:rPr>
                <w:rFonts w:eastAsia="方正仿宋_GBK"/>
                <w:color w:val="000000"/>
                <w:sz w:val="32"/>
                <w:szCs w:val="32"/>
              </w:rPr>
            </w:pPr>
          </w:p>
        </w:tc>
        <w:tc>
          <w:tcPr>
            <w:tcW w:w="1043" w:type="dxa"/>
            <w:noWrap w:val="0"/>
            <w:tcMar>
              <w:top w:w="15" w:type="dxa"/>
              <w:left w:w="15" w:type="dxa"/>
              <w:right w:w="15" w:type="dxa"/>
            </w:tcMar>
            <w:vAlign w:val="center"/>
          </w:tcPr>
          <w:p>
            <w:pPr>
              <w:snapToGrid w:val="0"/>
              <w:spacing w:line="380" w:lineRule="exact"/>
              <w:jc w:val="center"/>
              <w:rPr>
                <w:rFonts w:eastAsia="方正仿宋_GBK"/>
                <w:color w:val="000000"/>
                <w:sz w:val="32"/>
                <w:szCs w:val="32"/>
              </w:rPr>
            </w:pPr>
            <w:r>
              <w:rPr>
                <w:rFonts w:eastAsia="方正仿宋_GBK"/>
                <w:color w:val="000000"/>
                <w:kern w:val="0"/>
                <w:sz w:val="32"/>
                <w:szCs w:val="32"/>
                <w:lang w:bidi="ar"/>
              </w:rPr>
              <w:t>4.农业农村污染防治</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农业农村污染防治</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州级与县市共同承担支出责任</w:t>
            </w:r>
            <w:r>
              <w:rPr>
                <w:rFonts w:eastAsia="方正仿宋_GBK"/>
                <w:sz w:val="32"/>
                <w:szCs w:val="32"/>
              </w:rPr>
              <w:t>（按州与县财政管理体制相关规定分担</w:t>
            </w:r>
            <w:r>
              <w:rPr>
                <w:rFonts w:eastAsia="方正仿宋_GBK"/>
                <w:color w:val="000000"/>
                <w:kern w:val="0"/>
                <w:sz w:val="32"/>
                <w:szCs w:val="32"/>
                <w:lang w:bidi="ar"/>
              </w:rPr>
              <w:t>，中央、省级通过转移支付给予支持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0" w:hRule="atLeast"/>
          <w:jc w:val="center"/>
        </w:trPr>
        <w:tc>
          <w:tcPr>
            <w:tcW w:w="1488" w:type="dxa"/>
            <w:vMerge w:val="continue"/>
            <w:noWrap w:val="0"/>
            <w:tcMar>
              <w:top w:w="15" w:type="dxa"/>
              <w:left w:w="15" w:type="dxa"/>
              <w:right w:w="15" w:type="dxa"/>
            </w:tcMar>
            <w:vAlign w:val="center"/>
          </w:tcPr>
          <w:p>
            <w:pPr>
              <w:snapToGrid w:val="0"/>
              <w:spacing w:line="380" w:lineRule="exact"/>
              <w:jc w:val="center"/>
              <w:rPr>
                <w:rFonts w:eastAsia="方正仿宋_GBK"/>
                <w:color w:val="000000"/>
                <w:sz w:val="32"/>
                <w:szCs w:val="32"/>
              </w:rPr>
            </w:pPr>
          </w:p>
        </w:tc>
        <w:tc>
          <w:tcPr>
            <w:tcW w:w="1043" w:type="dxa"/>
            <w:noWrap w:val="0"/>
            <w:tcMar>
              <w:top w:w="15" w:type="dxa"/>
              <w:left w:w="15" w:type="dxa"/>
              <w:right w:w="15" w:type="dxa"/>
            </w:tcMar>
            <w:vAlign w:val="center"/>
          </w:tcPr>
          <w:p>
            <w:pPr>
              <w:snapToGrid w:val="0"/>
              <w:spacing w:line="380" w:lineRule="exact"/>
              <w:jc w:val="center"/>
              <w:rPr>
                <w:rFonts w:eastAsia="方正仿宋_GBK"/>
                <w:color w:val="000000"/>
                <w:sz w:val="32"/>
                <w:szCs w:val="32"/>
              </w:rPr>
            </w:pPr>
            <w:r>
              <w:rPr>
                <w:rFonts w:eastAsia="方正仿宋_GBK"/>
                <w:color w:val="000000"/>
                <w:kern w:val="0"/>
                <w:sz w:val="32"/>
                <w:szCs w:val="32"/>
                <w:lang w:bidi="ar"/>
              </w:rPr>
              <w:t>5.地下水污染防治</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影响较大的跨县市区域性地下水污染防治</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州级与县市共同承担支出责任</w:t>
            </w:r>
            <w:r>
              <w:rPr>
                <w:rFonts w:eastAsia="方正仿宋_GBK"/>
                <w:sz w:val="32"/>
                <w:szCs w:val="32"/>
              </w:rPr>
              <w:t>（按州与县财政管理体制相关规定分担）</w:t>
            </w:r>
            <w:r>
              <w:rPr>
                <w:rFonts w:eastAsia="方正仿宋_GBK"/>
                <w:color w:val="000000"/>
                <w:kern w:val="0"/>
                <w:sz w:val="32"/>
                <w:szCs w:val="32"/>
                <w:lang w:bidi="ar"/>
              </w:rPr>
              <w:t>，中央、省级通过转移支付给予支持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3" w:hRule="atLeast"/>
          <w:jc w:val="center"/>
        </w:trPr>
        <w:tc>
          <w:tcPr>
            <w:tcW w:w="1488" w:type="dxa"/>
            <w:vMerge w:val="continue"/>
            <w:noWrap w:val="0"/>
            <w:tcMar>
              <w:top w:w="15" w:type="dxa"/>
              <w:left w:w="15" w:type="dxa"/>
              <w:right w:w="15" w:type="dxa"/>
            </w:tcMar>
            <w:vAlign w:val="center"/>
          </w:tcPr>
          <w:p>
            <w:pPr>
              <w:snapToGrid w:val="0"/>
              <w:spacing w:line="380" w:lineRule="exact"/>
              <w:jc w:val="center"/>
              <w:rPr>
                <w:rFonts w:eastAsia="方正仿宋_GBK"/>
                <w:color w:val="000000"/>
                <w:sz w:val="32"/>
                <w:szCs w:val="32"/>
              </w:rPr>
            </w:pPr>
          </w:p>
        </w:tc>
        <w:tc>
          <w:tcPr>
            <w:tcW w:w="1043" w:type="dxa"/>
            <w:noWrap w:val="0"/>
            <w:tcMar>
              <w:top w:w="15" w:type="dxa"/>
              <w:left w:w="15" w:type="dxa"/>
              <w:right w:w="15" w:type="dxa"/>
            </w:tcMar>
            <w:vAlign w:val="center"/>
          </w:tcPr>
          <w:p>
            <w:pPr>
              <w:snapToGrid w:val="0"/>
              <w:spacing w:line="380" w:lineRule="exact"/>
              <w:jc w:val="center"/>
              <w:rPr>
                <w:rFonts w:eastAsia="方正仿宋_GBK"/>
                <w:color w:val="000000"/>
                <w:sz w:val="32"/>
                <w:szCs w:val="32"/>
              </w:rPr>
            </w:pPr>
            <w:r>
              <w:rPr>
                <w:rFonts w:eastAsia="方正仿宋_GBK"/>
                <w:color w:val="000000"/>
                <w:kern w:val="0"/>
                <w:sz w:val="32"/>
                <w:szCs w:val="32"/>
                <w:lang w:bidi="ar"/>
              </w:rPr>
              <w:t>6.固体废物和化学品污染防治</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影响较大的跨县市区域性污染防治</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州级与县市共同承担支出责任</w:t>
            </w:r>
            <w:r>
              <w:rPr>
                <w:rFonts w:eastAsia="方正仿宋_GBK"/>
                <w:sz w:val="32"/>
                <w:szCs w:val="32"/>
              </w:rPr>
              <w:t>（按州与县财政管理体制相关规定分担）</w:t>
            </w:r>
            <w:r>
              <w:rPr>
                <w:rFonts w:eastAsia="方正仿宋_GBK"/>
                <w:color w:val="000000"/>
                <w:kern w:val="0"/>
                <w:sz w:val="32"/>
                <w:szCs w:val="32"/>
                <w:lang w:bidi="ar"/>
              </w:rPr>
              <w:t>，中央、省级通过转移支付给予支持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3985" w:type="dxa"/>
            <w:gridSpan w:val="4"/>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三、县（市）级财政事权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0" w:hRule="atLeast"/>
          <w:jc w:val="center"/>
        </w:trPr>
        <w:tc>
          <w:tcPr>
            <w:tcW w:w="2531" w:type="dxa"/>
            <w:gridSpan w:val="2"/>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（一）生态环境规划制度制定</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sz w:val="32"/>
                <w:szCs w:val="32"/>
              </w:rPr>
              <w:t>县市生态环境规划制定</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县市级承担支出责任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2531" w:type="dxa"/>
            <w:gridSpan w:val="2"/>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（二）生态环境监测与执法</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sz w:val="32"/>
                <w:szCs w:val="32"/>
              </w:rPr>
              <w:t>城市空气自动站站房用地、站房建设或租赁、安全保障、电力供应、网络通讯和出入站房等日常运行所必需的基础条件保障工作确认为县级财政事权。县级开展生态环境质量责任落实情况监督检查、生态环境执法检查、配合中央及省级开展生态环境督察、县域生态环境质量监测（含农村环境质量监测、农村“千吨万人”饮用水水源地水质监测、农田灌溉水质监测、声环境质量监测、污染源执法监测）、城市、乡镇、农村黑臭水体水质监测。</w:t>
            </w:r>
          </w:p>
          <w:p>
            <w:pPr>
              <w:widowControl/>
              <w:snapToGrid w:val="0"/>
              <w:spacing w:line="380" w:lineRule="exact"/>
              <w:jc w:val="left"/>
              <w:textAlignment w:val="center"/>
              <w:rPr>
                <w:rFonts w:eastAsia="方正仿宋_GBK"/>
                <w:color w:val="000000"/>
                <w:sz w:val="32"/>
                <w:szCs w:val="32"/>
              </w:rPr>
            </w:pP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县市级承担支出责任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5" w:hRule="atLeast"/>
          <w:jc w:val="center"/>
        </w:trPr>
        <w:tc>
          <w:tcPr>
            <w:tcW w:w="2531" w:type="dxa"/>
            <w:gridSpan w:val="2"/>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（三）生态环境管理事务与能力建设</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sz w:val="32"/>
                <w:szCs w:val="32"/>
              </w:rPr>
              <w:t>生态环境分局对规划和建设项目的事中事后监管，县市分局生态保护修复的指导协调和监督，县级生态环境普查，</w:t>
            </w:r>
          </w:p>
          <w:p>
            <w:pPr>
              <w:widowControl/>
              <w:snapToGrid w:val="0"/>
              <w:spacing w:line="380" w:lineRule="exact"/>
              <w:jc w:val="left"/>
              <w:textAlignment w:val="center"/>
              <w:rPr>
                <w:rFonts w:eastAsia="方正仿宋_GBK"/>
                <w:color w:val="000000"/>
                <w:sz w:val="32"/>
                <w:szCs w:val="32"/>
              </w:rPr>
            </w:pPr>
            <w:r>
              <w:rPr>
                <w:rFonts w:eastAsia="方正仿宋_GBK"/>
                <w:sz w:val="32"/>
                <w:szCs w:val="32"/>
              </w:rPr>
              <w:t>县（市）推广的生态环境保护新技术试点和污染物治理新方式应用示范。</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县市级承担支出责任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0" w:hRule="atLeast"/>
          <w:jc w:val="center"/>
        </w:trPr>
        <w:tc>
          <w:tcPr>
            <w:tcW w:w="2531" w:type="dxa"/>
            <w:gridSpan w:val="2"/>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（四）生态环境领域其他事项</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sz w:val="32"/>
                <w:szCs w:val="32"/>
              </w:rPr>
              <w:t>县市研究制定生态环境领域规章、政策、标准、技术规范等事项，确认为州以下财政事权，由县市级承担支出责任、</w:t>
            </w:r>
            <w:r>
              <w:rPr>
                <w:rFonts w:eastAsia="方正仿宋_GBK"/>
                <w:sz w:val="32"/>
                <w:szCs w:val="32"/>
              </w:rPr>
              <w:t>县市开展的生态环境领域国际合作交流有关事项。</w:t>
            </w:r>
          </w:p>
          <w:p>
            <w:pPr>
              <w:widowControl/>
              <w:snapToGrid w:val="0"/>
              <w:spacing w:line="380" w:lineRule="exact"/>
              <w:jc w:val="left"/>
              <w:textAlignment w:val="center"/>
              <w:rPr>
                <w:rFonts w:eastAsia="方正仿宋_GBK"/>
                <w:color w:val="000000"/>
                <w:sz w:val="32"/>
                <w:szCs w:val="32"/>
              </w:rPr>
            </w:pP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color w:val="000000"/>
                <w:kern w:val="0"/>
                <w:sz w:val="32"/>
                <w:szCs w:val="32"/>
                <w:lang w:bidi="ar"/>
              </w:rPr>
              <w:t>县市级承担支出责任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0" w:hRule="atLeast"/>
          <w:jc w:val="center"/>
        </w:trPr>
        <w:tc>
          <w:tcPr>
            <w:tcW w:w="2531" w:type="dxa"/>
            <w:gridSpan w:val="2"/>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kern w:val="0"/>
                <w:sz w:val="32"/>
                <w:szCs w:val="32"/>
                <w:lang w:bidi="ar"/>
              </w:rPr>
            </w:pPr>
            <w:r>
              <w:rPr>
                <w:rFonts w:eastAsia="方正仿宋_GBK"/>
                <w:color w:val="000000"/>
                <w:kern w:val="0"/>
                <w:sz w:val="32"/>
                <w:szCs w:val="32"/>
                <w:lang w:bidi="ar"/>
              </w:rPr>
              <w:t>（五）</w:t>
            </w:r>
            <w:r>
              <w:rPr>
                <w:rFonts w:eastAsia="方正仿宋_GBK"/>
                <w:color w:val="000000"/>
                <w:sz w:val="32"/>
                <w:szCs w:val="32"/>
              </w:rPr>
              <w:t>环境污染防治</w:t>
            </w:r>
          </w:p>
        </w:tc>
        <w:tc>
          <w:tcPr>
            <w:tcW w:w="7731"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sz w:val="32"/>
                <w:szCs w:val="32"/>
              </w:rPr>
            </w:pPr>
            <w:r>
              <w:rPr>
                <w:rFonts w:eastAsia="方正仿宋_GBK"/>
                <w:sz w:val="32"/>
                <w:szCs w:val="32"/>
              </w:rPr>
              <w:t>县市级行政区域内其他水污染防治、县市级行政区域内大气、土壤、农业农村、地下水、固体废物和化学品污染防治、</w:t>
            </w:r>
            <w:r>
              <w:rPr>
                <w:rFonts w:eastAsia="方正仿宋_GBK"/>
                <w:color w:val="000000"/>
                <w:sz w:val="32"/>
                <w:szCs w:val="32"/>
              </w:rPr>
              <w:t>噪声、光、恶臭、电磁辐射污染防治。</w:t>
            </w:r>
          </w:p>
        </w:tc>
        <w:tc>
          <w:tcPr>
            <w:tcW w:w="3723" w:type="dxa"/>
            <w:noWrap w:val="0"/>
            <w:tcMar>
              <w:top w:w="15" w:type="dxa"/>
              <w:left w:w="15" w:type="dxa"/>
              <w:right w:w="15" w:type="dxa"/>
            </w:tcMar>
            <w:vAlign w:val="center"/>
          </w:tcPr>
          <w:p>
            <w:pPr>
              <w:widowControl/>
              <w:snapToGrid w:val="0"/>
              <w:spacing w:line="380" w:lineRule="exact"/>
              <w:jc w:val="left"/>
              <w:textAlignment w:val="center"/>
              <w:rPr>
                <w:rFonts w:eastAsia="方正仿宋_GBK"/>
                <w:color w:val="000000"/>
                <w:kern w:val="0"/>
                <w:sz w:val="32"/>
                <w:szCs w:val="32"/>
                <w:lang w:bidi="ar"/>
              </w:rPr>
            </w:pPr>
            <w:r>
              <w:rPr>
                <w:rFonts w:eastAsia="方正仿宋_GBK"/>
                <w:color w:val="000000"/>
                <w:kern w:val="0"/>
                <w:sz w:val="32"/>
                <w:szCs w:val="32"/>
                <w:lang w:bidi="ar"/>
              </w:rPr>
              <w:t>县市级承担主要支出责任</w:t>
            </w:r>
          </w:p>
        </w:tc>
      </w:tr>
    </w:tbl>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54DD7"/>
    <w:rsid w:val="348D366E"/>
    <w:rsid w:val="35EA7ACF"/>
    <w:rsid w:val="46354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napToGrid w:val="0"/>
      <w:spacing w:after="120"/>
    </w:pPr>
    <w:rPr>
      <w:rFonts w:eastAsia="Times New Roman"/>
      <w:sz w:val="28"/>
    </w:rPr>
  </w:style>
  <w:style w:type="paragraph" w:styleId="3">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4">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2"/>
    </w:rPr>
  </w:style>
  <w:style w:type="character" w:styleId="7">
    <w:name w:val="Strong"/>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2021-12-21T02:52:00Z</dcterms:created>
  <dc:creator>咖啡杯里的茶</dc:creator>
  <cp:lastModifiedBy>咖啡杯里的茶</cp:lastModifiedBy>
  <dcterms:modified xsi:type="dcterms:W3CDTF">2021-12-21T02:55:07Z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